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E808" w14:textId="77777777" w:rsidR="004759A5" w:rsidRPr="005F26F4" w:rsidRDefault="00C66544" w:rsidP="00E144D3">
      <w:pPr>
        <w:jc w:val="center"/>
        <w:rPr>
          <w:b/>
          <w:sz w:val="28"/>
          <w:szCs w:val="28"/>
          <w:lang w:val="en-US"/>
        </w:rPr>
      </w:pPr>
      <w:r w:rsidRPr="005F26F4">
        <w:rPr>
          <w:b/>
          <w:sz w:val="28"/>
          <w:szCs w:val="28"/>
          <w:lang w:val="en-US"/>
        </w:rPr>
        <w:t xml:space="preserve">Additional </w:t>
      </w:r>
      <w:r w:rsidR="003C15AF" w:rsidRPr="005F26F4">
        <w:rPr>
          <w:b/>
          <w:sz w:val="28"/>
          <w:szCs w:val="28"/>
          <w:lang w:val="en-US"/>
        </w:rPr>
        <w:t>information about the Contract Notice</w:t>
      </w:r>
    </w:p>
    <w:p w14:paraId="15756335" w14:textId="0EAA3305" w:rsidR="005A76EA" w:rsidRPr="005F26F4" w:rsidRDefault="005A76EA" w:rsidP="005A76EA">
      <w:pPr>
        <w:jc w:val="center"/>
        <w:rPr>
          <w:b/>
          <w:sz w:val="28"/>
          <w:lang w:val="en-US"/>
        </w:rPr>
      </w:pPr>
      <w:r w:rsidRPr="005F26F4">
        <w:rPr>
          <w:b/>
          <w:sz w:val="28"/>
          <w:lang w:val="en-US"/>
        </w:rPr>
        <w:t xml:space="preserve">Supply of </w:t>
      </w:r>
      <w:r w:rsidR="00E56C65" w:rsidRPr="005F26F4">
        <w:rPr>
          <w:b/>
          <w:sz w:val="28"/>
          <w:lang w:val="en-US"/>
        </w:rPr>
        <w:t xml:space="preserve">IT </w:t>
      </w:r>
      <w:r w:rsidR="00741783" w:rsidRPr="00741783">
        <w:rPr>
          <w:b/>
          <w:sz w:val="28"/>
          <w:lang w:val="en-US"/>
        </w:rPr>
        <w:t xml:space="preserve">Equipment </w:t>
      </w:r>
      <w:r w:rsidR="00E56C65" w:rsidRPr="005F26F4">
        <w:rPr>
          <w:b/>
          <w:sz w:val="28"/>
          <w:lang w:val="en-US"/>
        </w:rPr>
        <w:t>and Software</w:t>
      </w:r>
      <w:r w:rsidR="00400D80">
        <w:rPr>
          <w:b/>
          <w:sz w:val="28"/>
          <w:lang w:val="en-US"/>
        </w:rPr>
        <w:t xml:space="preserve"> </w:t>
      </w:r>
      <w:r w:rsidRPr="005F26F4">
        <w:rPr>
          <w:b/>
          <w:sz w:val="28"/>
          <w:lang w:val="en-US"/>
        </w:rPr>
        <w:t xml:space="preserve">for EUAM Ukraine </w:t>
      </w:r>
    </w:p>
    <w:p w14:paraId="40CA69EB" w14:textId="536B943D" w:rsidR="00EA6C7C" w:rsidRPr="005F26F4" w:rsidRDefault="005A76EA" w:rsidP="005A76EA">
      <w:pPr>
        <w:jc w:val="center"/>
        <w:rPr>
          <w:sz w:val="28"/>
          <w:szCs w:val="28"/>
          <w:lang w:val="en-US"/>
        </w:rPr>
      </w:pPr>
      <w:r w:rsidRPr="005F26F4">
        <w:rPr>
          <w:b/>
          <w:sz w:val="28"/>
          <w:lang w:val="en-US"/>
        </w:rPr>
        <w:t>Location: Ukraine</w:t>
      </w:r>
    </w:p>
    <w:p w14:paraId="20618759" w14:textId="77777777" w:rsidR="009A3842" w:rsidRPr="005F26F4" w:rsidRDefault="009A3842" w:rsidP="00170460">
      <w:pPr>
        <w:pStyle w:val="PRAGHeading2"/>
        <w:ind w:left="426" w:hanging="426"/>
        <w:rPr>
          <w:lang w:val="en-US"/>
        </w:rPr>
      </w:pPr>
      <w:r w:rsidRPr="005F26F4">
        <w:rPr>
          <w:rStyle w:val="Strong"/>
          <w:sz w:val="22"/>
          <w:szCs w:val="22"/>
          <w:lang w:val="en-US"/>
        </w:rPr>
        <w:t>Nature of contract</w:t>
      </w:r>
    </w:p>
    <w:p w14:paraId="77F5B234" w14:textId="164AE8C3" w:rsidR="005407B9" w:rsidRPr="005F26F4" w:rsidRDefault="00853088" w:rsidP="00100AF9">
      <w:pPr>
        <w:ind w:firstLine="360"/>
        <w:rPr>
          <w:rStyle w:val="Strong"/>
          <w:b w:val="0"/>
          <w:szCs w:val="22"/>
          <w:lang w:val="en-US"/>
        </w:rPr>
      </w:pPr>
      <w:r w:rsidRPr="005F26F4">
        <w:rPr>
          <w:rStyle w:val="Strong"/>
          <w:b w:val="0"/>
          <w:sz w:val="22"/>
          <w:szCs w:val="22"/>
          <w:lang w:val="en-US"/>
        </w:rPr>
        <w:t xml:space="preserve"> </w:t>
      </w:r>
      <w:r w:rsidR="000D3AA5" w:rsidRPr="005F26F4">
        <w:rPr>
          <w:rStyle w:val="Strong"/>
          <w:b w:val="0"/>
          <w:sz w:val="22"/>
          <w:szCs w:val="22"/>
          <w:lang w:val="en-US"/>
        </w:rPr>
        <w:t>U</w:t>
      </w:r>
      <w:r w:rsidR="005407B9" w:rsidRPr="005F26F4">
        <w:rPr>
          <w:rStyle w:val="Strong"/>
          <w:b w:val="0"/>
          <w:sz w:val="22"/>
          <w:szCs w:val="22"/>
          <w:lang w:val="en-US"/>
        </w:rPr>
        <w:t>nit price</w:t>
      </w:r>
    </w:p>
    <w:p w14:paraId="68DF593A" w14:textId="77777777" w:rsidR="00AA22A5" w:rsidRPr="005F26F4" w:rsidRDefault="00AA22A5" w:rsidP="00170460">
      <w:pPr>
        <w:pStyle w:val="PRAGHeading2"/>
        <w:ind w:left="426" w:hanging="426"/>
        <w:rPr>
          <w:rStyle w:val="Strong"/>
          <w:sz w:val="22"/>
          <w:szCs w:val="22"/>
          <w:lang w:val="en-US"/>
        </w:rPr>
      </w:pPr>
      <w:proofErr w:type="spellStart"/>
      <w:r w:rsidRPr="005F26F4">
        <w:rPr>
          <w:rStyle w:val="Strong"/>
          <w:sz w:val="22"/>
          <w:szCs w:val="22"/>
          <w:lang w:val="en-US"/>
        </w:rPr>
        <w:t>Programme</w:t>
      </w:r>
      <w:proofErr w:type="spellEnd"/>
      <w:r w:rsidRPr="005F26F4">
        <w:rPr>
          <w:rStyle w:val="Strong"/>
          <w:sz w:val="22"/>
          <w:szCs w:val="22"/>
          <w:lang w:val="en-US"/>
        </w:rPr>
        <w:t xml:space="preserve"> title</w:t>
      </w:r>
    </w:p>
    <w:p w14:paraId="065A43FE" w14:textId="6CB8B670" w:rsidR="00787B85" w:rsidRPr="005F26F4" w:rsidRDefault="00787B85" w:rsidP="00823D2D">
      <w:pPr>
        <w:ind w:left="426"/>
        <w:jc w:val="both"/>
        <w:rPr>
          <w:lang w:val="en-US"/>
        </w:rPr>
      </w:pPr>
      <w:r w:rsidRPr="005F26F4">
        <w:rPr>
          <w:rStyle w:val="Strong"/>
          <w:b w:val="0"/>
          <w:sz w:val="22"/>
          <w:szCs w:val="22"/>
          <w:lang w:val="en-US"/>
        </w:rPr>
        <w:t>Council Decision 2014/486/CFSP of 22 July 2014 as last amended by the Council Decision (CFSP) 2024/1353 of 14 May 2024</w:t>
      </w:r>
    </w:p>
    <w:p w14:paraId="4A56BF5F" w14:textId="77777777" w:rsidR="00CA6501" w:rsidRPr="005F26F4" w:rsidRDefault="00B2271A" w:rsidP="00170460">
      <w:pPr>
        <w:pStyle w:val="PRAGHeading2"/>
        <w:ind w:left="426" w:hanging="426"/>
        <w:rPr>
          <w:rStyle w:val="Strong"/>
          <w:sz w:val="22"/>
          <w:szCs w:val="22"/>
          <w:lang w:val="en-US"/>
        </w:rPr>
      </w:pPr>
      <w:r w:rsidRPr="005F26F4">
        <w:rPr>
          <w:rStyle w:val="Strong"/>
          <w:sz w:val="22"/>
          <w:szCs w:val="22"/>
          <w:lang w:val="en-US"/>
        </w:rPr>
        <w:t>Financing</w:t>
      </w:r>
    </w:p>
    <w:p w14:paraId="2C2D9C42" w14:textId="1A2933E1" w:rsidR="00111B68" w:rsidRPr="00D326D2" w:rsidRDefault="00111B68" w:rsidP="001B36F0">
      <w:pPr>
        <w:ind w:left="426"/>
        <w:jc w:val="both"/>
        <w:rPr>
          <w:sz w:val="22"/>
          <w:szCs w:val="22"/>
          <w:lang w:val="en-US"/>
        </w:rPr>
      </w:pPr>
      <w:r w:rsidRPr="00D326D2">
        <w:rPr>
          <w:sz w:val="22"/>
          <w:szCs w:val="22"/>
          <w:lang w:val="en-US"/>
        </w:rPr>
        <w:t xml:space="preserve">Contribution </w:t>
      </w:r>
      <w:r w:rsidRPr="00D326D2">
        <w:rPr>
          <w:rStyle w:val="Strong"/>
          <w:b w:val="0"/>
          <w:bCs/>
        </w:rPr>
        <w:t>agreement</w:t>
      </w:r>
      <w:r w:rsidRPr="00D326D2">
        <w:rPr>
          <w:sz w:val="22"/>
          <w:szCs w:val="22"/>
          <w:lang w:val="en-US"/>
        </w:rPr>
        <w:t xml:space="preserve"> CFSP/2024/03/EUAM Ukraine</w:t>
      </w:r>
    </w:p>
    <w:p w14:paraId="65F2053B" w14:textId="267EDBB4" w:rsidR="00AA22A5" w:rsidRPr="005F26F4" w:rsidRDefault="00F72244" w:rsidP="00170460">
      <w:pPr>
        <w:pStyle w:val="PRAGHeading2"/>
        <w:ind w:left="426" w:hanging="426"/>
        <w:rPr>
          <w:rStyle w:val="Strong"/>
          <w:sz w:val="22"/>
          <w:szCs w:val="22"/>
          <w:lang w:val="en-US"/>
        </w:rPr>
      </w:pPr>
      <w:r w:rsidRPr="005F26F4">
        <w:rPr>
          <w:rStyle w:val="Strong"/>
          <w:sz w:val="22"/>
          <w:szCs w:val="22"/>
          <w:lang w:val="en-US"/>
        </w:rPr>
        <w:t>Legal basis, e</w:t>
      </w:r>
      <w:r w:rsidR="00AA22A5" w:rsidRPr="005F26F4">
        <w:rPr>
          <w:rStyle w:val="Strong"/>
          <w:sz w:val="22"/>
          <w:szCs w:val="22"/>
          <w:lang w:val="en-US"/>
        </w:rPr>
        <w:t>ligibility and rules of origin</w:t>
      </w:r>
    </w:p>
    <w:p w14:paraId="4A210294" w14:textId="77777777" w:rsidR="000023D1" w:rsidRPr="005F26F4" w:rsidRDefault="000023D1" w:rsidP="000023D1">
      <w:pPr>
        <w:pStyle w:val="PRAGHeading2"/>
        <w:numPr>
          <w:ilvl w:val="0"/>
          <w:numId w:val="0"/>
        </w:numPr>
        <w:ind w:left="426"/>
        <w:jc w:val="both"/>
        <w:rPr>
          <w:snapToGrid/>
          <w:color w:val="000000"/>
          <w:kern w:val="2"/>
          <w:sz w:val="22"/>
          <w:szCs w:val="22"/>
          <w:lang w:val="en-US"/>
          <w14:ligatures w14:val="standardContextual"/>
        </w:rPr>
      </w:pPr>
      <w:r w:rsidRPr="005F26F4">
        <w:rPr>
          <w:snapToGrid/>
          <w:color w:val="000000"/>
          <w:kern w:val="2"/>
          <w:sz w:val="22"/>
          <w:szCs w:val="22"/>
          <w:lang w:val="en-US"/>
          <w14:ligatures w14:val="standardContextual"/>
        </w:rPr>
        <w:t xml:space="preserve">The legal basis of this procedure is Regulation (EU, Euratom) 2018/1046 of the European Parliament and of the Council of 18 July 2018 on the financial rules applicable to the general budget of the Union, as well as Council Decision 2014/486/CFSP of 22 July 2014 as last amended by the Council Decision (CFSP) 2024/1353 of 14 May 2024. </w:t>
      </w:r>
    </w:p>
    <w:p w14:paraId="6F6CCC64" w14:textId="77777777" w:rsidR="000023D1" w:rsidRPr="005F26F4" w:rsidRDefault="000023D1" w:rsidP="00DE0356">
      <w:pPr>
        <w:ind w:left="426" w:right="26"/>
        <w:jc w:val="both"/>
        <w:outlineLvl w:val="0"/>
        <w:rPr>
          <w:sz w:val="22"/>
          <w:szCs w:val="22"/>
          <w:lang w:val="en-US"/>
        </w:rPr>
      </w:pPr>
      <w:r w:rsidRPr="005F26F4">
        <w:rPr>
          <w:sz w:val="22"/>
          <w:szCs w:val="22"/>
          <w:lang w:val="en-US"/>
        </w:rPr>
        <w:t>Participation of natural and legal persons in the award of procurement contracts by EUAM Ukraine shall be open without limitations with regards to their nationality.</w:t>
      </w:r>
    </w:p>
    <w:p w14:paraId="4B06420E" w14:textId="73FAAD5F" w:rsidR="000023D1" w:rsidRPr="005F26F4" w:rsidRDefault="000023D1" w:rsidP="00D71A29">
      <w:pPr>
        <w:ind w:left="446" w:right="78"/>
        <w:rPr>
          <w:rStyle w:val="eop"/>
          <w:sz w:val="22"/>
          <w:szCs w:val="22"/>
          <w:lang w:val="en-US"/>
        </w:rPr>
      </w:pPr>
      <w:r w:rsidRPr="005F26F4">
        <w:rPr>
          <w:sz w:val="22"/>
          <w:szCs w:val="22"/>
          <w:lang w:val="en-US"/>
        </w:rPr>
        <w:t xml:space="preserve">All supplies under this contract may originate in any country. </w:t>
      </w:r>
    </w:p>
    <w:p w14:paraId="6BA7DCA6" w14:textId="77777777" w:rsidR="00AA22A5" w:rsidRPr="005F26F4" w:rsidRDefault="00AA22A5" w:rsidP="00170460">
      <w:pPr>
        <w:pStyle w:val="PRAGHeading2"/>
        <w:ind w:left="426" w:hanging="426"/>
        <w:rPr>
          <w:rStyle w:val="Strong"/>
          <w:sz w:val="22"/>
          <w:szCs w:val="22"/>
          <w:lang w:val="en-US"/>
        </w:rPr>
      </w:pPr>
      <w:bookmarkStart w:id="0" w:name="_DV_M201"/>
      <w:bookmarkEnd w:id="0"/>
      <w:r w:rsidRPr="005F26F4">
        <w:rPr>
          <w:rStyle w:val="Strong"/>
          <w:sz w:val="22"/>
          <w:szCs w:val="22"/>
          <w:lang w:val="en-US"/>
        </w:rPr>
        <w:t xml:space="preserve">Candidature </w:t>
      </w:r>
    </w:p>
    <w:p w14:paraId="21C8C0AC" w14:textId="4725D044" w:rsidR="00AA22A5" w:rsidRPr="005F26F4" w:rsidRDefault="00AA22A5" w:rsidP="00AA22A5">
      <w:pPr>
        <w:pStyle w:val="PRAGHeading2"/>
        <w:numPr>
          <w:ilvl w:val="0"/>
          <w:numId w:val="0"/>
        </w:numPr>
        <w:ind w:left="426"/>
        <w:jc w:val="both"/>
        <w:rPr>
          <w:rStyle w:val="Strong"/>
          <w:b w:val="0"/>
          <w:sz w:val="22"/>
          <w:szCs w:val="22"/>
          <w:lang w:val="en-US"/>
        </w:rPr>
      </w:pPr>
      <w:r w:rsidRPr="005F26F4">
        <w:rPr>
          <w:rStyle w:val="Strong"/>
          <w:b w:val="0"/>
          <w:sz w:val="22"/>
          <w:szCs w:val="22"/>
          <w:lang w:val="en-US"/>
        </w:rPr>
        <w:t xml:space="preserve">All eligible natural and legal persons </w:t>
      </w:r>
      <w:r w:rsidR="00866A95" w:rsidRPr="005F26F4">
        <w:rPr>
          <w:rStyle w:val="Strong"/>
          <w:b w:val="0"/>
          <w:sz w:val="22"/>
          <w:szCs w:val="22"/>
          <w:lang w:val="en-US"/>
        </w:rPr>
        <w:t xml:space="preserve">(as per item 4 above) </w:t>
      </w:r>
      <w:r w:rsidRPr="005F26F4">
        <w:rPr>
          <w:rStyle w:val="Strong"/>
          <w:b w:val="0"/>
          <w:sz w:val="22"/>
          <w:szCs w:val="22"/>
          <w:lang w:val="en-US"/>
        </w:rPr>
        <w:t>or groupings</w:t>
      </w:r>
      <w:r w:rsidR="00FE62A7" w:rsidRPr="005F26F4">
        <w:rPr>
          <w:rStyle w:val="Strong"/>
          <w:b w:val="0"/>
          <w:sz w:val="22"/>
          <w:szCs w:val="22"/>
          <w:lang w:val="en-US"/>
        </w:rPr>
        <w:t xml:space="preserve"> </w:t>
      </w:r>
      <w:r w:rsidRPr="005F26F4">
        <w:rPr>
          <w:rStyle w:val="Strong"/>
          <w:b w:val="0"/>
          <w:sz w:val="22"/>
          <w:szCs w:val="22"/>
          <w:lang w:val="en-US"/>
        </w:rPr>
        <w:t xml:space="preserve">of such persons (consortia) may </w:t>
      </w:r>
      <w:r w:rsidR="008321A0" w:rsidRPr="005F26F4">
        <w:rPr>
          <w:rStyle w:val="Strong"/>
          <w:b w:val="0"/>
          <w:sz w:val="22"/>
          <w:szCs w:val="22"/>
          <w:lang w:val="en-US"/>
        </w:rPr>
        <w:t>participate</w:t>
      </w:r>
      <w:r w:rsidR="00B470EF" w:rsidRPr="005F26F4">
        <w:rPr>
          <w:rStyle w:val="Strong"/>
          <w:b w:val="0"/>
          <w:sz w:val="22"/>
          <w:szCs w:val="22"/>
          <w:lang w:val="en-US"/>
        </w:rPr>
        <w:t xml:space="preserve"> or tender</w:t>
      </w:r>
      <w:r w:rsidRPr="005F26F4">
        <w:rPr>
          <w:rStyle w:val="Strong"/>
          <w:b w:val="0"/>
          <w:sz w:val="22"/>
          <w:szCs w:val="22"/>
          <w:lang w:val="en-US"/>
        </w:rPr>
        <w:t>.</w:t>
      </w:r>
    </w:p>
    <w:p w14:paraId="2D943D69" w14:textId="57255091" w:rsidR="00AA22A5" w:rsidRPr="005F26F4" w:rsidRDefault="00AA22A5" w:rsidP="00AA22A5">
      <w:pPr>
        <w:pStyle w:val="PRAGHeading2"/>
        <w:numPr>
          <w:ilvl w:val="0"/>
          <w:numId w:val="0"/>
        </w:numPr>
        <w:ind w:left="426"/>
        <w:jc w:val="both"/>
        <w:rPr>
          <w:rStyle w:val="Strong"/>
          <w:b w:val="0"/>
          <w:sz w:val="22"/>
          <w:szCs w:val="22"/>
          <w:lang w:val="en-US"/>
        </w:rPr>
      </w:pPr>
      <w:r w:rsidRPr="005F26F4">
        <w:rPr>
          <w:rStyle w:val="Strong"/>
          <w:b w:val="0"/>
          <w:sz w:val="22"/>
          <w:szCs w:val="22"/>
          <w:lang w:val="en-US"/>
        </w:rPr>
        <w:t>A consortium may be a permanent, legally</w:t>
      </w:r>
      <w:r w:rsidR="00CC4B2C" w:rsidRPr="005F26F4">
        <w:rPr>
          <w:rStyle w:val="Strong"/>
          <w:b w:val="0"/>
          <w:sz w:val="22"/>
          <w:szCs w:val="22"/>
          <w:lang w:val="en-US"/>
        </w:rPr>
        <w:t xml:space="preserve"> </w:t>
      </w:r>
      <w:r w:rsidRPr="005F26F4">
        <w:rPr>
          <w:rStyle w:val="Strong"/>
          <w:b w:val="0"/>
          <w:sz w:val="22"/>
          <w:szCs w:val="22"/>
          <w:lang w:val="en-US"/>
        </w:rPr>
        <w:t xml:space="preserve">established grouping or a grouping which has been constituted informally for a specific </w:t>
      </w:r>
      <w:r w:rsidR="00B470EF" w:rsidRPr="005F26F4">
        <w:rPr>
          <w:rStyle w:val="Strong"/>
          <w:b w:val="0"/>
          <w:sz w:val="22"/>
          <w:szCs w:val="22"/>
          <w:lang w:val="en-US"/>
        </w:rPr>
        <w:t xml:space="preserve">procurement </w:t>
      </w:r>
      <w:r w:rsidRPr="005F26F4">
        <w:rPr>
          <w:rStyle w:val="Strong"/>
          <w:b w:val="0"/>
          <w:sz w:val="22"/>
          <w:szCs w:val="22"/>
          <w:lang w:val="en-US"/>
        </w:rPr>
        <w:t xml:space="preserve">procedure. All partners of a consortium (i.e., the leader and all other partners) are jointly and severally liable to the </w:t>
      </w:r>
      <w:r w:rsidR="00246FE9" w:rsidRPr="005F26F4">
        <w:rPr>
          <w:rStyle w:val="Strong"/>
          <w:b w:val="0"/>
          <w:sz w:val="22"/>
          <w:szCs w:val="22"/>
          <w:lang w:val="en-US"/>
        </w:rPr>
        <w:t>c</w:t>
      </w:r>
      <w:r w:rsidRPr="005F26F4">
        <w:rPr>
          <w:rStyle w:val="Strong"/>
          <w:b w:val="0"/>
          <w:sz w:val="22"/>
          <w:szCs w:val="22"/>
          <w:lang w:val="en-US"/>
        </w:rPr>
        <w:t xml:space="preserve">ontracting </w:t>
      </w:r>
      <w:r w:rsidR="00246FE9" w:rsidRPr="005F26F4">
        <w:rPr>
          <w:rStyle w:val="Strong"/>
          <w:b w:val="0"/>
          <w:sz w:val="22"/>
          <w:szCs w:val="22"/>
          <w:lang w:val="en-US"/>
        </w:rPr>
        <w:t>a</w:t>
      </w:r>
      <w:r w:rsidRPr="005F26F4">
        <w:rPr>
          <w:rStyle w:val="Strong"/>
          <w:b w:val="0"/>
          <w:sz w:val="22"/>
          <w:szCs w:val="22"/>
          <w:lang w:val="en-US"/>
        </w:rPr>
        <w:t>uthority.</w:t>
      </w:r>
    </w:p>
    <w:p w14:paraId="2B049E17" w14:textId="77777777" w:rsidR="00AA22A5" w:rsidRPr="005F26F4" w:rsidRDefault="00AA22A5" w:rsidP="00AA22A5">
      <w:pPr>
        <w:pStyle w:val="PRAGHeading2"/>
        <w:numPr>
          <w:ilvl w:val="0"/>
          <w:numId w:val="0"/>
        </w:numPr>
        <w:ind w:left="426"/>
        <w:jc w:val="both"/>
        <w:rPr>
          <w:rStyle w:val="Strong"/>
          <w:b w:val="0"/>
          <w:sz w:val="22"/>
          <w:szCs w:val="22"/>
          <w:lang w:val="en-US"/>
        </w:rPr>
      </w:pPr>
      <w:r w:rsidRPr="005F26F4">
        <w:rPr>
          <w:rStyle w:val="Strong"/>
          <w:b w:val="0"/>
          <w:sz w:val="22"/>
          <w:szCs w:val="22"/>
          <w:lang w:val="en-US"/>
        </w:rPr>
        <w:t xml:space="preserve">The participation </w:t>
      </w:r>
      <w:r w:rsidR="00B470EF" w:rsidRPr="005F26F4">
        <w:rPr>
          <w:rStyle w:val="Strong"/>
          <w:b w:val="0"/>
          <w:sz w:val="22"/>
          <w:szCs w:val="22"/>
          <w:lang w:val="en-US"/>
        </w:rPr>
        <w:t xml:space="preserve">or tender </w:t>
      </w:r>
      <w:r w:rsidRPr="005F26F4">
        <w:rPr>
          <w:rStyle w:val="Strong"/>
          <w:b w:val="0"/>
          <w:sz w:val="22"/>
          <w:szCs w:val="22"/>
          <w:lang w:val="en-US"/>
        </w:rPr>
        <w:t xml:space="preserve">of an ineligible natural or legal person will result in the automatic exclusion of that person. </w:t>
      </w:r>
      <w:proofErr w:type="gramStart"/>
      <w:r w:rsidRPr="005F26F4">
        <w:rPr>
          <w:rStyle w:val="Strong"/>
          <w:b w:val="0"/>
          <w:sz w:val="22"/>
          <w:szCs w:val="22"/>
          <w:lang w:val="en-US"/>
        </w:rPr>
        <w:t>In particular, if</w:t>
      </w:r>
      <w:proofErr w:type="gramEnd"/>
      <w:r w:rsidRPr="005F26F4">
        <w:rPr>
          <w:rStyle w:val="Strong"/>
          <w:b w:val="0"/>
          <w:sz w:val="22"/>
          <w:szCs w:val="22"/>
          <w:lang w:val="en-US"/>
        </w:rPr>
        <w:t xml:space="preserve"> that ineligible person belongs to a consortium, the whole consortium will be excluded. </w:t>
      </w:r>
    </w:p>
    <w:p w14:paraId="4183CF16" w14:textId="77777777" w:rsidR="000A6AD7" w:rsidRPr="005F26F4" w:rsidRDefault="000A6AD7" w:rsidP="000A6AD7">
      <w:pPr>
        <w:ind w:right="26" w:firstLine="426"/>
        <w:jc w:val="both"/>
        <w:outlineLvl w:val="0"/>
        <w:rPr>
          <w:sz w:val="22"/>
          <w:szCs w:val="22"/>
          <w:lang w:val="en-US"/>
        </w:rPr>
      </w:pPr>
      <w:r w:rsidRPr="005F26F4">
        <w:rPr>
          <w:sz w:val="22"/>
          <w:szCs w:val="22"/>
          <w:u w:val="single"/>
          <w:lang w:val="en-US"/>
        </w:rPr>
        <w:t>EU Restrictive Measures against Russia</w:t>
      </w:r>
    </w:p>
    <w:p w14:paraId="78AC4FE9" w14:textId="77777777" w:rsidR="000A6AD7" w:rsidRPr="005F26F4" w:rsidRDefault="000A6AD7" w:rsidP="000A6AD7">
      <w:pPr>
        <w:ind w:left="426" w:right="26"/>
        <w:jc w:val="both"/>
        <w:outlineLvl w:val="0"/>
        <w:rPr>
          <w:sz w:val="22"/>
          <w:szCs w:val="22"/>
          <w:lang w:val="en-US"/>
        </w:rPr>
      </w:pPr>
      <w:r w:rsidRPr="005F26F4">
        <w:rPr>
          <w:sz w:val="22"/>
          <w:szCs w:val="22"/>
          <w:lang w:val="en-US"/>
        </w:rPr>
        <w:t>Following article 5l.1 of the Council Regulation (EU) No 833/2014 concerning restrictive measures in view of ongoing Russian invasion in Ukraine, it is forbidden to award contracts to:</w:t>
      </w:r>
    </w:p>
    <w:p w14:paraId="0582A472" w14:textId="77777777" w:rsidR="000A6AD7" w:rsidRPr="005F26F4" w:rsidRDefault="000A6AD7" w:rsidP="000A6AD7">
      <w:pPr>
        <w:numPr>
          <w:ilvl w:val="0"/>
          <w:numId w:val="34"/>
        </w:numPr>
        <w:tabs>
          <w:tab w:val="num" w:pos="720"/>
        </w:tabs>
        <w:ind w:right="26"/>
        <w:jc w:val="both"/>
        <w:outlineLvl w:val="0"/>
        <w:rPr>
          <w:sz w:val="22"/>
          <w:szCs w:val="22"/>
          <w:lang w:val="en-US"/>
        </w:rPr>
      </w:pPr>
      <w:r w:rsidRPr="005F26F4">
        <w:rPr>
          <w:sz w:val="22"/>
          <w:szCs w:val="22"/>
          <w:lang w:val="en-US"/>
        </w:rPr>
        <w:t>a legal person, entity or body established in Russia;</w:t>
      </w:r>
    </w:p>
    <w:p w14:paraId="7FEB5432" w14:textId="77777777" w:rsidR="000A6AD7" w:rsidRPr="005F26F4" w:rsidRDefault="000A6AD7" w:rsidP="000A6AD7">
      <w:pPr>
        <w:pStyle w:val="ListParagraph"/>
        <w:widowControl/>
        <w:numPr>
          <w:ilvl w:val="0"/>
          <w:numId w:val="34"/>
        </w:numPr>
        <w:spacing w:before="0" w:after="0"/>
        <w:ind w:right="26"/>
        <w:contextualSpacing w:val="0"/>
        <w:jc w:val="both"/>
        <w:outlineLvl w:val="0"/>
        <w:rPr>
          <w:sz w:val="22"/>
          <w:szCs w:val="22"/>
          <w:lang w:val="en-US"/>
        </w:rPr>
      </w:pPr>
      <w:r w:rsidRPr="005F26F4">
        <w:rPr>
          <w:sz w:val="22"/>
          <w:szCs w:val="22"/>
          <w:lang w:val="en-US"/>
        </w:rPr>
        <w:t>a legal person, entity or body whose proprietary rights are directly or indirectly owned for more than 50 % by a legal person, entity or body established in Russia. </w:t>
      </w:r>
    </w:p>
    <w:p w14:paraId="63C64E9B" w14:textId="0209F782" w:rsidR="00987530" w:rsidRPr="005F26F4" w:rsidRDefault="000A6AD7" w:rsidP="000A6AD7">
      <w:pPr>
        <w:pStyle w:val="PRAGHeading2"/>
        <w:numPr>
          <w:ilvl w:val="0"/>
          <w:numId w:val="0"/>
        </w:numPr>
        <w:ind w:left="426"/>
        <w:jc w:val="both"/>
        <w:rPr>
          <w:rStyle w:val="Strong"/>
          <w:b w:val="0"/>
          <w:sz w:val="22"/>
          <w:szCs w:val="22"/>
          <w:lang w:val="en-US"/>
        </w:rPr>
      </w:pPr>
      <w:r w:rsidRPr="005F26F4">
        <w:rPr>
          <w:sz w:val="22"/>
          <w:szCs w:val="22"/>
          <w:lang w:val="en-US"/>
        </w:rPr>
        <w:t>Exceptions to this rule can be found in article 5l.2 of the Regulation. This legislation is often updated, so please make sure to refer to the last consolidated version</w:t>
      </w:r>
      <w:r w:rsidRPr="005F26F4">
        <w:rPr>
          <w:sz w:val="22"/>
          <w:szCs w:val="22"/>
          <w:vertAlign w:val="superscript"/>
          <w:lang w:val="en-US"/>
        </w:rPr>
        <w:footnoteReference w:id="1"/>
      </w:r>
      <w:r w:rsidRPr="005F26F4">
        <w:rPr>
          <w:sz w:val="22"/>
          <w:szCs w:val="22"/>
          <w:lang w:val="en-US"/>
        </w:rPr>
        <w:t>.</w:t>
      </w:r>
    </w:p>
    <w:p w14:paraId="6B31B3FE" w14:textId="447985CB" w:rsidR="00AA22A5" w:rsidRPr="005F26F4" w:rsidRDefault="00AA22A5" w:rsidP="00170460">
      <w:pPr>
        <w:pStyle w:val="PRAGHeading2"/>
        <w:ind w:left="426" w:hanging="426"/>
        <w:rPr>
          <w:rStyle w:val="Strong"/>
          <w:sz w:val="22"/>
          <w:szCs w:val="22"/>
          <w:lang w:val="en-US"/>
        </w:rPr>
      </w:pPr>
      <w:r w:rsidRPr="005F26F4">
        <w:rPr>
          <w:rStyle w:val="Strong"/>
          <w:sz w:val="22"/>
          <w:szCs w:val="22"/>
          <w:lang w:val="en-US"/>
        </w:rPr>
        <w:t xml:space="preserve">Number of </w:t>
      </w:r>
      <w:r w:rsidR="000E2749" w:rsidRPr="005F26F4">
        <w:rPr>
          <w:rStyle w:val="Strong"/>
          <w:sz w:val="22"/>
          <w:szCs w:val="22"/>
          <w:lang w:val="en-US"/>
        </w:rPr>
        <w:t>request</w:t>
      </w:r>
      <w:r w:rsidR="00276FFE" w:rsidRPr="005F26F4">
        <w:rPr>
          <w:rStyle w:val="Strong"/>
          <w:sz w:val="22"/>
          <w:szCs w:val="22"/>
          <w:lang w:val="en-US"/>
        </w:rPr>
        <w:t>s</w:t>
      </w:r>
      <w:r w:rsidR="000E2749" w:rsidRPr="005F26F4">
        <w:rPr>
          <w:rStyle w:val="Strong"/>
          <w:sz w:val="22"/>
          <w:szCs w:val="22"/>
          <w:lang w:val="en-US"/>
        </w:rPr>
        <w:t xml:space="preserve"> to participate</w:t>
      </w:r>
      <w:r w:rsidR="00C80539" w:rsidRPr="005F26F4">
        <w:rPr>
          <w:rStyle w:val="Strong"/>
          <w:sz w:val="22"/>
          <w:szCs w:val="22"/>
          <w:lang w:val="en-US"/>
        </w:rPr>
        <w:t xml:space="preserve"> or tenders</w:t>
      </w:r>
    </w:p>
    <w:p w14:paraId="6CD2F6BB" w14:textId="1C48C965" w:rsidR="00AA22A5" w:rsidRPr="005F26F4" w:rsidRDefault="00AA22A5" w:rsidP="00AA22A5">
      <w:pPr>
        <w:pStyle w:val="PRAGHeading2"/>
        <w:numPr>
          <w:ilvl w:val="0"/>
          <w:numId w:val="0"/>
        </w:numPr>
        <w:ind w:left="426"/>
        <w:jc w:val="both"/>
        <w:rPr>
          <w:rStyle w:val="Strong"/>
          <w:b w:val="0"/>
          <w:sz w:val="22"/>
          <w:szCs w:val="22"/>
          <w:lang w:val="en-US"/>
        </w:rPr>
      </w:pPr>
      <w:r w:rsidRPr="005F26F4">
        <w:rPr>
          <w:rStyle w:val="Strong"/>
          <w:b w:val="0"/>
          <w:sz w:val="22"/>
          <w:szCs w:val="22"/>
          <w:lang w:val="en-US"/>
        </w:rPr>
        <w:t xml:space="preserve">No more than one </w:t>
      </w:r>
      <w:r w:rsidR="003F797F" w:rsidRPr="005F26F4">
        <w:rPr>
          <w:rStyle w:val="Strong"/>
          <w:b w:val="0"/>
          <w:sz w:val="22"/>
          <w:szCs w:val="22"/>
          <w:lang w:val="en-US"/>
        </w:rPr>
        <w:t xml:space="preserve">request to participate </w:t>
      </w:r>
      <w:r w:rsidR="007413BF" w:rsidRPr="005F26F4">
        <w:rPr>
          <w:rStyle w:val="Strong"/>
          <w:b w:val="0"/>
          <w:sz w:val="22"/>
          <w:szCs w:val="22"/>
          <w:lang w:val="en-US"/>
        </w:rPr>
        <w:t>or</w:t>
      </w:r>
      <w:r w:rsidR="00100AF9" w:rsidRPr="005F26F4">
        <w:rPr>
          <w:rStyle w:val="Strong"/>
          <w:b w:val="0"/>
          <w:sz w:val="22"/>
          <w:szCs w:val="22"/>
          <w:lang w:val="en-US"/>
        </w:rPr>
        <w:t xml:space="preserve"> </w:t>
      </w:r>
      <w:r w:rsidR="00C80539" w:rsidRPr="005F26F4">
        <w:rPr>
          <w:rStyle w:val="Strong"/>
          <w:b w:val="0"/>
          <w:sz w:val="22"/>
          <w:szCs w:val="22"/>
          <w:lang w:val="en-US"/>
        </w:rPr>
        <w:t>tender</w:t>
      </w:r>
      <w:r w:rsidRPr="005F26F4">
        <w:rPr>
          <w:rStyle w:val="Strong"/>
          <w:b w:val="0"/>
          <w:sz w:val="22"/>
          <w:szCs w:val="22"/>
          <w:lang w:val="en-US"/>
        </w:rPr>
        <w:t xml:space="preserve"> can be submitted by a natural or legal person whatever the form of participation (as an individual legal entity or as leader or partner of a consortium submitting</w:t>
      </w:r>
      <w:r w:rsidR="000E2749" w:rsidRPr="005F26F4">
        <w:rPr>
          <w:rStyle w:val="Strong"/>
          <w:b w:val="0"/>
          <w:sz w:val="22"/>
          <w:szCs w:val="22"/>
          <w:lang w:val="en-US"/>
        </w:rPr>
        <w:t xml:space="preserve"> </w:t>
      </w:r>
      <w:r w:rsidR="002F1DF5" w:rsidRPr="005F26F4">
        <w:rPr>
          <w:rStyle w:val="Strong"/>
          <w:b w:val="0"/>
          <w:sz w:val="22"/>
          <w:szCs w:val="22"/>
          <w:lang w:val="en-US"/>
        </w:rPr>
        <w:t>a request to participate</w:t>
      </w:r>
      <w:r w:rsidR="007B42F5" w:rsidRPr="005F26F4">
        <w:rPr>
          <w:rStyle w:val="Strong"/>
          <w:b w:val="0"/>
          <w:sz w:val="22"/>
          <w:szCs w:val="22"/>
          <w:lang w:val="en-US"/>
        </w:rPr>
        <w:t xml:space="preserve"> or</w:t>
      </w:r>
      <w:r w:rsidR="00D91AE4" w:rsidRPr="005F26F4">
        <w:rPr>
          <w:rStyle w:val="Strong"/>
          <w:b w:val="0"/>
          <w:sz w:val="22"/>
          <w:szCs w:val="22"/>
          <w:lang w:val="en-US"/>
        </w:rPr>
        <w:t xml:space="preserve"> </w:t>
      </w:r>
      <w:r w:rsidR="00C80539" w:rsidRPr="005F26F4">
        <w:rPr>
          <w:rStyle w:val="Strong"/>
          <w:b w:val="0"/>
          <w:sz w:val="22"/>
          <w:szCs w:val="22"/>
          <w:lang w:val="en-US"/>
        </w:rPr>
        <w:t>tender</w:t>
      </w:r>
      <w:r w:rsidRPr="005F26F4">
        <w:rPr>
          <w:rStyle w:val="Strong"/>
          <w:b w:val="0"/>
          <w:sz w:val="22"/>
          <w:szCs w:val="22"/>
          <w:lang w:val="en-US"/>
        </w:rPr>
        <w:t xml:space="preserve">). </w:t>
      </w:r>
      <w:proofErr w:type="gramStart"/>
      <w:r w:rsidRPr="005F26F4">
        <w:rPr>
          <w:rStyle w:val="Strong"/>
          <w:b w:val="0"/>
          <w:sz w:val="22"/>
          <w:szCs w:val="22"/>
          <w:lang w:val="en-US"/>
        </w:rPr>
        <w:t>In the event that</w:t>
      </w:r>
      <w:proofErr w:type="gramEnd"/>
      <w:r w:rsidRPr="005F26F4">
        <w:rPr>
          <w:rStyle w:val="Strong"/>
          <w:b w:val="0"/>
          <w:sz w:val="22"/>
          <w:szCs w:val="22"/>
          <w:lang w:val="en-US"/>
        </w:rPr>
        <w:t xml:space="preserve"> a natural or legal person submits more than one </w:t>
      </w:r>
      <w:r w:rsidR="007A5B6B" w:rsidRPr="005F26F4">
        <w:rPr>
          <w:rStyle w:val="Strong"/>
          <w:b w:val="0"/>
          <w:sz w:val="22"/>
          <w:szCs w:val="22"/>
          <w:lang w:val="en-US"/>
        </w:rPr>
        <w:t xml:space="preserve">request to participate </w:t>
      </w:r>
      <w:r w:rsidR="00100AF9" w:rsidRPr="005F26F4">
        <w:rPr>
          <w:rStyle w:val="Strong"/>
          <w:b w:val="0"/>
          <w:sz w:val="22"/>
          <w:szCs w:val="22"/>
          <w:lang w:val="en-US"/>
        </w:rPr>
        <w:t xml:space="preserve">or </w:t>
      </w:r>
      <w:r w:rsidR="00C80539" w:rsidRPr="005F26F4">
        <w:rPr>
          <w:rStyle w:val="Strong"/>
          <w:b w:val="0"/>
          <w:sz w:val="22"/>
          <w:szCs w:val="22"/>
          <w:lang w:val="en-US"/>
        </w:rPr>
        <w:t>tender</w:t>
      </w:r>
      <w:r w:rsidRPr="005F26F4">
        <w:rPr>
          <w:rStyle w:val="Strong"/>
          <w:b w:val="0"/>
          <w:sz w:val="22"/>
          <w:szCs w:val="22"/>
          <w:lang w:val="en-US"/>
        </w:rPr>
        <w:t xml:space="preserve">, all </w:t>
      </w:r>
      <w:r w:rsidR="002F1DF5" w:rsidRPr="005F26F4">
        <w:rPr>
          <w:rStyle w:val="Strong"/>
          <w:b w:val="0"/>
          <w:sz w:val="22"/>
          <w:szCs w:val="22"/>
          <w:lang w:val="en-US"/>
        </w:rPr>
        <w:t>requests to participate</w:t>
      </w:r>
      <w:r w:rsidR="00100AF9" w:rsidRPr="005F26F4">
        <w:rPr>
          <w:rStyle w:val="Strong"/>
          <w:b w:val="0"/>
          <w:sz w:val="22"/>
          <w:szCs w:val="22"/>
          <w:lang w:val="en-US"/>
        </w:rPr>
        <w:t xml:space="preserve"> or </w:t>
      </w:r>
      <w:r w:rsidR="00C80539" w:rsidRPr="005F26F4">
        <w:rPr>
          <w:rStyle w:val="Strong"/>
          <w:b w:val="0"/>
          <w:sz w:val="22"/>
          <w:szCs w:val="22"/>
          <w:lang w:val="en-US"/>
        </w:rPr>
        <w:t>tenders</w:t>
      </w:r>
      <w:r w:rsidRPr="005F26F4">
        <w:rPr>
          <w:rStyle w:val="Strong"/>
          <w:b w:val="0"/>
          <w:sz w:val="22"/>
          <w:szCs w:val="22"/>
          <w:lang w:val="en-US"/>
        </w:rPr>
        <w:t xml:space="preserve"> in which that person has participated will be excluded. </w:t>
      </w:r>
    </w:p>
    <w:p w14:paraId="254A14F6" w14:textId="334FBA81" w:rsidR="007A1A77" w:rsidRPr="005F26F4" w:rsidRDefault="00744127" w:rsidP="00D71A29">
      <w:pPr>
        <w:pStyle w:val="Blockquote"/>
        <w:ind w:left="426" w:right="-48"/>
        <w:jc w:val="both"/>
        <w:rPr>
          <w:sz w:val="22"/>
          <w:szCs w:val="22"/>
          <w:lang w:val="en-US"/>
        </w:rPr>
      </w:pPr>
      <w:r w:rsidRPr="005F26F4">
        <w:rPr>
          <w:sz w:val="22"/>
          <w:szCs w:val="22"/>
          <w:lang w:val="en-US"/>
        </w:rPr>
        <w:t>In case of lots, t</w:t>
      </w:r>
      <w:r w:rsidR="00AA22A5" w:rsidRPr="005F26F4">
        <w:rPr>
          <w:sz w:val="22"/>
          <w:szCs w:val="22"/>
          <w:lang w:val="en-US"/>
        </w:rPr>
        <w:t>he candidates</w:t>
      </w:r>
      <w:r w:rsidR="007413BF" w:rsidRPr="005F26F4">
        <w:rPr>
          <w:sz w:val="22"/>
          <w:szCs w:val="22"/>
          <w:lang w:val="en-US"/>
        </w:rPr>
        <w:t xml:space="preserve"> or</w:t>
      </w:r>
      <w:r w:rsidR="00100AF9" w:rsidRPr="005F26F4">
        <w:rPr>
          <w:sz w:val="22"/>
          <w:szCs w:val="22"/>
          <w:lang w:val="en-US"/>
        </w:rPr>
        <w:t xml:space="preserve"> </w:t>
      </w:r>
      <w:r w:rsidR="00C80539" w:rsidRPr="005F26F4">
        <w:rPr>
          <w:sz w:val="22"/>
          <w:szCs w:val="22"/>
          <w:lang w:val="en-US"/>
        </w:rPr>
        <w:t>tenderers</w:t>
      </w:r>
      <w:r w:rsidR="00AA22A5" w:rsidRPr="005F26F4">
        <w:rPr>
          <w:sz w:val="22"/>
          <w:szCs w:val="22"/>
          <w:lang w:val="en-US"/>
        </w:rPr>
        <w:t xml:space="preserve"> may submit only one </w:t>
      </w:r>
      <w:r w:rsidR="007A5B6B" w:rsidRPr="005F26F4">
        <w:rPr>
          <w:sz w:val="22"/>
          <w:szCs w:val="22"/>
          <w:lang w:val="en-US"/>
        </w:rPr>
        <w:t xml:space="preserve">request to participate </w:t>
      </w:r>
      <w:r w:rsidR="00CC118D" w:rsidRPr="005F26F4">
        <w:rPr>
          <w:sz w:val="22"/>
          <w:szCs w:val="22"/>
          <w:lang w:val="en-US"/>
        </w:rPr>
        <w:t>or</w:t>
      </w:r>
      <w:r w:rsidR="00100AF9" w:rsidRPr="005F26F4">
        <w:rPr>
          <w:sz w:val="22"/>
          <w:szCs w:val="22"/>
          <w:lang w:val="en-US"/>
        </w:rPr>
        <w:t xml:space="preserve"> </w:t>
      </w:r>
      <w:r w:rsidR="00C80539" w:rsidRPr="005F26F4">
        <w:rPr>
          <w:sz w:val="22"/>
          <w:szCs w:val="22"/>
          <w:lang w:val="en-US"/>
        </w:rPr>
        <w:t>tender</w:t>
      </w:r>
      <w:r w:rsidR="00AA22A5" w:rsidRPr="005F26F4">
        <w:rPr>
          <w:sz w:val="22"/>
          <w:szCs w:val="22"/>
          <w:lang w:val="en-US"/>
        </w:rPr>
        <w:t xml:space="preserve"> per </w:t>
      </w:r>
      <w:r w:rsidR="00AA22A5" w:rsidRPr="005F26F4">
        <w:rPr>
          <w:sz w:val="22"/>
          <w:szCs w:val="22"/>
          <w:lang w:val="en-US"/>
        </w:rPr>
        <w:lastRenderedPageBreak/>
        <w:t>lot</w:t>
      </w:r>
      <w:r w:rsidR="00195EB7" w:rsidRPr="005F26F4">
        <w:rPr>
          <w:sz w:val="22"/>
          <w:szCs w:val="22"/>
          <w:lang w:val="en-US"/>
        </w:rPr>
        <w:t>.</w:t>
      </w:r>
      <w:r w:rsidR="00C80539" w:rsidRPr="005F26F4">
        <w:rPr>
          <w:sz w:val="22"/>
          <w:szCs w:val="22"/>
          <w:lang w:val="en-US"/>
        </w:rPr>
        <w:t xml:space="preserve"> </w:t>
      </w:r>
      <w:r w:rsidR="00AA22A5" w:rsidRPr="005F26F4">
        <w:rPr>
          <w:sz w:val="22"/>
          <w:szCs w:val="22"/>
          <w:lang w:val="en-US"/>
        </w:rPr>
        <w:t>Contracts will be awarded lot by lot and each lot will form a separate contract.</w:t>
      </w:r>
    </w:p>
    <w:p w14:paraId="3D419B22" w14:textId="77777777" w:rsidR="003E0003" w:rsidRPr="005F26F4" w:rsidRDefault="003E0003" w:rsidP="003E0003">
      <w:pPr>
        <w:pStyle w:val="PRAGHeading2"/>
        <w:ind w:left="426" w:hanging="426"/>
        <w:rPr>
          <w:rStyle w:val="Strong"/>
          <w:sz w:val="22"/>
          <w:szCs w:val="22"/>
          <w:lang w:val="en-US"/>
        </w:rPr>
      </w:pPr>
      <w:r w:rsidRPr="005F26F4">
        <w:rPr>
          <w:rStyle w:val="Strong"/>
          <w:sz w:val="22"/>
          <w:szCs w:val="22"/>
          <w:lang w:val="en-US"/>
        </w:rPr>
        <w:t xml:space="preserve">Sub-contracting </w:t>
      </w:r>
    </w:p>
    <w:p w14:paraId="1A22CC0E" w14:textId="47052818" w:rsidR="00E144D3" w:rsidRPr="005F26F4" w:rsidRDefault="003E0003" w:rsidP="00D71A29">
      <w:pPr>
        <w:pStyle w:val="PRAGHeading2"/>
        <w:numPr>
          <w:ilvl w:val="0"/>
          <w:numId w:val="0"/>
        </w:numPr>
        <w:ind w:left="426"/>
        <w:rPr>
          <w:rStyle w:val="Emphasis"/>
          <w:i w:val="0"/>
          <w:sz w:val="22"/>
          <w:szCs w:val="22"/>
          <w:lang w:val="en-US"/>
        </w:rPr>
      </w:pPr>
      <w:r w:rsidRPr="005F26F4">
        <w:rPr>
          <w:rStyle w:val="Emphasis"/>
          <w:i w:val="0"/>
          <w:sz w:val="22"/>
          <w:szCs w:val="22"/>
          <w:lang w:val="en-US"/>
        </w:rPr>
        <w:t>Sub-contracting is allowed.</w:t>
      </w:r>
    </w:p>
    <w:p w14:paraId="6D1D3E64" w14:textId="4AFF79FE" w:rsidR="005D6528" w:rsidRPr="005F26F4" w:rsidRDefault="005D6528" w:rsidP="00DF57E9">
      <w:pPr>
        <w:pStyle w:val="PRAGHeading2"/>
        <w:ind w:left="426" w:hanging="426"/>
        <w:rPr>
          <w:sz w:val="22"/>
          <w:szCs w:val="22"/>
          <w:lang w:val="en-US"/>
        </w:rPr>
      </w:pPr>
      <w:r w:rsidRPr="005F26F4">
        <w:rPr>
          <w:b/>
          <w:sz w:val="22"/>
          <w:szCs w:val="22"/>
          <w:lang w:val="en-US"/>
        </w:rPr>
        <w:t>Number of candidates to be short-listed</w:t>
      </w:r>
    </w:p>
    <w:p w14:paraId="15EF82FC" w14:textId="77777777" w:rsidR="005D6528" w:rsidRPr="005F26F4" w:rsidRDefault="005D6528" w:rsidP="005D6528">
      <w:pPr>
        <w:spacing w:before="0" w:after="0"/>
        <w:ind w:left="709" w:hanging="349"/>
        <w:outlineLvl w:val="0"/>
        <w:rPr>
          <w:sz w:val="22"/>
          <w:szCs w:val="22"/>
          <w:lang w:val="en-US"/>
        </w:rPr>
      </w:pPr>
      <w:r w:rsidRPr="005F26F4">
        <w:rPr>
          <w:sz w:val="22"/>
          <w:szCs w:val="22"/>
          <w:lang w:val="en-US"/>
        </w:rPr>
        <w:t>N/A.</w:t>
      </w:r>
    </w:p>
    <w:p w14:paraId="2080AC61" w14:textId="43107CDB" w:rsidR="005D6528" w:rsidRPr="005F26F4" w:rsidRDefault="005D6528" w:rsidP="00DF57E9">
      <w:pPr>
        <w:pStyle w:val="PRAGHeading2"/>
        <w:ind w:left="426" w:hanging="426"/>
        <w:rPr>
          <w:b/>
          <w:sz w:val="22"/>
          <w:szCs w:val="22"/>
          <w:lang w:val="en-US"/>
        </w:rPr>
      </w:pPr>
      <w:r w:rsidRPr="005F26F4">
        <w:rPr>
          <w:b/>
          <w:sz w:val="22"/>
          <w:szCs w:val="22"/>
          <w:lang w:val="en-US"/>
        </w:rPr>
        <w:t>Short-list alliances prohibited</w:t>
      </w:r>
    </w:p>
    <w:p w14:paraId="0361CCE0" w14:textId="77777777" w:rsidR="005D6528" w:rsidRPr="005F26F4" w:rsidRDefault="005D6528" w:rsidP="005D6528">
      <w:pPr>
        <w:ind w:left="360" w:right="360"/>
        <w:jc w:val="both"/>
        <w:rPr>
          <w:sz w:val="22"/>
          <w:szCs w:val="22"/>
          <w:lang w:val="en-US"/>
        </w:rPr>
      </w:pPr>
      <w:r w:rsidRPr="005F26F4">
        <w:rPr>
          <w:sz w:val="22"/>
          <w:szCs w:val="22"/>
          <w:lang w:val="en-US"/>
        </w:rPr>
        <w:t>N/A.</w:t>
      </w:r>
    </w:p>
    <w:p w14:paraId="59FD535D" w14:textId="7FA51DB0" w:rsidR="005D6528" w:rsidRPr="005F26F4" w:rsidRDefault="005D6528" w:rsidP="00DF57E9">
      <w:pPr>
        <w:pStyle w:val="PRAGHeading2"/>
        <w:ind w:left="426" w:hanging="426"/>
        <w:rPr>
          <w:sz w:val="22"/>
          <w:szCs w:val="22"/>
          <w:lang w:val="en-US"/>
        </w:rPr>
      </w:pPr>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1"/>
      <w:bookmarkEnd w:id="2"/>
      <w:bookmarkEnd w:id="3"/>
      <w:bookmarkEnd w:id="4"/>
      <w:bookmarkEnd w:id="5"/>
      <w:bookmarkEnd w:id="6"/>
      <w:bookmarkEnd w:id="7"/>
      <w:bookmarkEnd w:id="8"/>
      <w:bookmarkEnd w:id="9"/>
      <w:bookmarkEnd w:id="10"/>
      <w:bookmarkEnd w:id="11"/>
      <w:bookmarkEnd w:id="12"/>
      <w:bookmarkEnd w:id="13"/>
      <w:r w:rsidRPr="005F26F4">
        <w:rPr>
          <w:b/>
          <w:sz w:val="22"/>
          <w:szCs w:val="22"/>
          <w:lang w:val="en-US"/>
        </w:rPr>
        <w:t>Provisional date of invitation to tender</w:t>
      </w:r>
    </w:p>
    <w:p w14:paraId="668D3797" w14:textId="6455F9D3" w:rsidR="005D6528" w:rsidRPr="005F26F4" w:rsidRDefault="005D6528" w:rsidP="005D6528">
      <w:pPr>
        <w:ind w:left="360" w:right="360"/>
        <w:jc w:val="both"/>
        <w:rPr>
          <w:sz w:val="22"/>
          <w:szCs w:val="22"/>
          <w:lang w:val="en-US"/>
        </w:rPr>
      </w:pPr>
      <w:r w:rsidRPr="005F26F4">
        <w:rPr>
          <w:sz w:val="22"/>
          <w:szCs w:val="22"/>
          <w:lang w:val="en-US"/>
        </w:rPr>
        <w:t>N/A.</w:t>
      </w:r>
    </w:p>
    <w:p w14:paraId="6BB13A25" w14:textId="792F66E5" w:rsidR="005D6528" w:rsidRPr="005F26F4" w:rsidRDefault="005D6528" w:rsidP="00DF57E9">
      <w:pPr>
        <w:pStyle w:val="PRAGHeading2"/>
        <w:ind w:left="426" w:hanging="426"/>
        <w:rPr>
          <w:sz w:val="22"/>
          <w:szCs w:val="22"/>
          <w:lang w:val="en-US"/>
        </w:rPr>
      </w:pPr>
      <w:r w:rsidRPr="005F26F4">
        <w:rPr>
          <w:b/>
          <w:sz w:val="22"/>
          <w:szCs w:val="22"/>
          <w:lang w:val="en-US"/>
        </w:rPr>
        <w:t>Provisional commencement date of the contract</w:t>
      </w:r>
    </w:p>
    <w:p w14:paraId="460A9333" w14:textId="7DEF47C0" w:rsidR="005D6528" w:rsidRPr="005F26F4" w:rsidRDefault="0013352A" w:rsidP="00DF57E9">
      <w:pPr>
        <w:ind w:left="360" w:right="360"/>
        <w:jc w:val="both"/>
        <w:rPr>
          <w:rStyle w:val="Strong"/>
          <w:b w:val="0"/>
          <w:sz w:val="22"/>
          <w:szCs w:val="22"/>
          <w:lang w:val="en-US"/>
        </w:rPr>
      </w:pPr>
      <w:r w:rsidRPr="002E2264">
        <w:rPr>
          <w:sz w:val="22"/>
          <w:szCs w:val="22"/>
          <w:lang w:val="en-US"/>
        </w:rPr>
        <w:t>October</w:t>
      </w:r>
      <w:r w:rsidR="002E2264" w:rsidRPr="002E2264">
        <w:rPr>
          <w:sz w:val="22"/>
          <w:szCs w:val="22"/>
          <w:lang w:val="uk-UA"/>
        </w:rPr>
        <w:t>-</w:t>
      </w:r>
      <w:r w:rsidR="002E2264" w:rsidRPr="002E2264">
        <w:rPr>
          <w:sz w:val="22"/>
          <w:szCs w:val="22"/>
          <w:lang w:val="en-US"/>
        </w:rPr>
        <w:t>November</w:t>
      </w:r>
      <w:r w:rsidR="005D6528" w:rsidRPr="002E2264">
        <w:rPr>
          <w:sz w:val="22"/>
          <w:szCs w:val="22"/>
          <w:lang w:val="en-US"/>
        </w:rPr>
        <w:t xml:space="preserve"> 2026.</w:t>
      </w:r>
      <w:r w:rsidR="005D6528" w:rsidRPr="005F26F4">
        <w:rPr>
          <w:sz w:val="22"/>
          <w:szCs w:val="22"/>
          <w:lang w:val="en-US"/>
        </w:rPr>
        <w:t xml:space="preserve"> </w:t>
      </w:r>
    </w:p>
    <w:p w14:paraId="0D349B1C" w14:textId="77777777" w:rsidR="00AA22A5" w:rsidRPr="005F26F4" w:rsidRDefault="00AA22A5" w:rsidP="00AC4ADC">
      <w:pPr>
        <w:pStyle w:val="PRAGHeading2"/>
        <w:ind w:left="426" w:hanging="426"/>
        <w:rPr>
          <w:rStyle w:val="Strong"/>
          <w:sz w:val="22"/>
          <w:szCs w:val="22"/>
          <w:lang w:val="en-US"/>
        </w:rPr>
      </w:pPr>
      <w:r w:rsidRPr="005F26F4">
        <w:rPr>
          <w:rStyle w:val="Strong"/>
          <w:sz w:val="22"/>
          <w:szCs w:val="22"/>
          <w:lang w:val="en-US"/>
        </w:rPr>
        <w:t>P</w:t>
      </w:r>
      <w:r w:rsidRPr="005F26F4">
        <w:rPr>
          <w:rStyle w:val="Strong"/>
          <w:lang w:val="en-US"/>
        </w:rPr>
        <w:t>eriod of implementation of tasks</w:t>
      </w:r>
    </w:p>
    <w:p w14:paraId="5BD2701F" w14:textId="77777777" w:rsidR="00682CC0" w:rsidRPr="00682CC0" w:rsidRDefault="00682CC0" w:rsidP="00682CC0">
      <w:pPr>
        <w:ind w:left="426"/>
        <w:jc w:val="both"/>
        <w:rPr>
          <w:sz w:val="22"/>
          <w:szCs w:val="22"/>
          <w:lang w:val="en-US"/>
        </w:rPr>
      </w:pPr>
      <w:bookmarkStart w:id="14" w:name="_Hlk197510595"/>
      <w:r w:rsidRPr="00682CC0">
        <w:rPr>
          <w:sz w:val="22"/>
          <w:szCs w:val="22"/>
          <w:lang w:val="en-US"/>
        </w:rPr>
        <w:t>The Framework Contract enters into force on the date of its signature by both parties, with the initial validity of 1 (one) year. The Framework Contract shall be renewed automatically 3 (three) times (1+1+1), each time for the implementation period of 1 (one) additional year, unless one of the Parties receives formal notification to the contrary at least 3 (three) months before the end of the ongoing period. Renewal shall not change or postpone any existing obligations that shall be duly executed.</w:t>
      </w:r>
    </w:p>
    <w:p w14:paraId="3324432F" w14:textId="77777777" w:rsidR="00682CC0" w:rsidRPr="00682CC0" w:rsidRDefault="00682CC0" w:rsidP="00682CC0">
      <w:pPr>
        <w:ind w:left="426"/>
        <w:jc w:val="both"/>
        <w:rPr>
          <w:sz w:val="22"/>
          <w:szCs w:val="22"/>
          <w:lang w:val="en-US"/>
        </w:rPr>
      </w:pPr>
      <w:r w:rsidRPr="00682CC0">
        <w:rPr>
          <w:sz w:val="22"/>
          <w:szCs w:val="22"/>
          <w:lang w:val="en-US"/>
        </w:rPr>
        <w:t xml:space="preserve">The conclusion of the Framework Contract and its renewal as stipulated above shall be further conditioned by the following suspension clause: </w:t>
      </w:r>
    </w:p>
    <w:p w14:paraId="11322776" w14:textId="77777777" w:rsidR="00682CC0" w:rsidRPr="00682CC0" w:rsidRDefault="00682CC0" w:rsidP="00682CC0">
      <w:pPr>
        <w:ind w:left="426"/>
        <w:jc w:val="both"/>
        <w:rPr>
          <w:sz w:val="22"/>
          <w:szCs w:val="22"/>
          <w:lang w:val="en-US"/>
        </w:rPr>
      </w:pPr>
      <w:r w:rsidRPr="00682CC0">
        <w:rPr>
          <w:sz w:val="22"/>
          <w:szCs w:val="22"/>
          <w:lang w:val="en-US"/>
        </w:rPr>
        <w:t xml:space="preserve">The period from 01 June 2027 onwards shall be subject to the extension of the mandate of the EUAM Ukraine and the signing of a Contribution agreement between the European Commission and EUAM Ukraine covering applicable period. </w:t>
      </w:r>
    </w:p>
    <w:p w14:paraId="4C2094FC" w14:textId="77777777" w:rsidR="00682CC0" w:rsidRPr="00682CC0" w:rsidRDefault="00682CC0" w:rsidP="00682CC0">
      <w:pPr>
        <w:ind w:left="426"/>
        <w:jc w:val="both"/>
        <w:rPr>
          <w:sz w:val="22"/>
          <w:szCs w:val="22"/>
          <w:lang w:val="uk-UA"/>
        </w:rPr>
      </w:pPr>
      <w:r w:rsidRPr="00682CC0">
        <w:rPr>
          <w:sz w:val="22"/>
          <w:szCs w:val="22"/>
          <w:lang w:val="en-US"/>
        </w:rPr>
        <w:t>The period from 01 June 20</w:t>
      </w:r>
      <w:r w:rsidRPr="00682CC0">
        <w:rPr>
          <w:sz w:val="22"/>
          <w:szCs w:val="22"/>
          <w:lang w:val="uk-UA"/>
        </w:rPr>
        <w:t>30</w:t>
      </w:r>
      <w:r w:rsidRPr="00682CC0">
        <w:rPr>
          <w:sz w:val="22"/>
          <w:szCs w:val="22"/>
          <w:lang w:val="en-US"/>
        </w:rPr>
        <w:t xml:space="preserve"> onwards shall be subject to the extension of the mandate of the EUAM Ukraine and the signing of a Contribution agreement between the European Commission and EUAM Ukraine covering applicable period.</w:t>
      </w:r>
    </w:p>
    <w:p w14:paraId="19006D74" w14:textId="77777777" w:rsidR="00682CC0" w:rsidRPr="00682CC0" w:rsidRDefault="00682CC0" w:rsidP="00682CC0">
      <w:pPr>
        <w:ind w:left="426"/>
        <w:jc w:val="both"/>
        <w:rPr>
          <w:sz w:val="22"/>
          <w:szCs w:val="22"/>
          <w:lang w:val="uk-UA"/>
        </w:rPr>
      </w:pPr>
      <w:r w:rsidRPr="00682CC0">
        <w:rPr>
          <w:sz w:val="22"/>
          <w:szCs w:val="22"/>
          <w:lang w:val="en-US"/>
        </w:rPr>
        <w:t>In case of non-renewal of EUAM Ukraine's mandate or lack of signing of the Contribution agreement with the European Commission in above mentioned periods, the Framework Contract shall be automatically terminated.</w:t>
      </w:r>
    </w:p>
    <w:p w14:paraId="4073AFD1" w14:textId="77777777" w:rsidR="00682CC0" w:rsidRPr="00682CC0" w:rsidRDefault="00682CC0" w:rsidP="00682CC0">
      <w:pPr>
        <w:ind w:left="426"/>
        <w:jc w:val="both"/>
        <w:rPr>
          <w:sz w:val="22"/>
          <w:szCs w:val="22"/>
          <w:lang w:val="en-US"/>
        </w:rPr>
      </w:pPr>
      <w:r w:rsidRPr="00682CC0">
        <w:rPr>
          <w:sz w:val="22"/>
          <w:szCs w:val="22"/>
          <w:lang w:val="en-US"/>
        </w:rPr>
        <w:t xml:space="preserve">The maximum allowed overall Framework Contract implementation period (including renewal) shall last 4 (fours) years from the date of its signature by both parties. </w:t>
      </w:r>
    </w:p>
    <w:p w14:paraId="1A67DE13" w14:textId="312CB301" w:rsidR="00730EA7" w:rsidRPr="005F26F4" w:rsidRDefault="00682CC0" w:rsidP="00682CC0">
      <w:pPr>
        <w:ind w:left="426"/>
        <w:jc w:val="both"/>
        <w:rPr>
          <w:sz w:val="22"/>
          <w:szCs w:val="22"/>
          <w:lang w:val="en-US"/>
        </w:rPr>
      </w:pPr>
      <w:r w:rsidRPr="00682CC0">
        <w:rPr>
          <w:sz w:val="22"/>
          <w:szCs w:val="22"/>
          <w:lang w:val="en-US"/>
        </w:rPr>
        <w:t>The period of implementation of each Order Form shall correspond to the timelines laid down in the Article 1, par. 1.1.3 of the Framework Contract.</w:t>
      </w:r>
    </w:p>
    <w:bookmarkEnd w:id="14"/>
    <w:p w14:paraId="7DC31B1C" w14:textId="77777777" w:rsidR="00A95A76" w:rsidRPr="005F26F4" w:rsidRDefault="00A95A76" w:rsidP="00A95A76">
      <w:pPr>
        <w:pStyle w:val="PRAGHeading2"/>
        <w:ind w:left="426" w:hanging="426"/>
        <w:rPr>
          <w:rStyle w:val="Strong"/>
          <w:sz w:val="22"/>
          <w:szCs w:val="22"/>
          <w:lang w:val="en-US"/>
        </w:rPr>
      </w:pPr>
      <w:r w:rsidRPr="005F26F4">
        <w:rPr>
          <w:rStyle w:val="Strong"/>
          <w:sz w:val="22"/>
          <w:szCs w:val="22"/>
          <w:lang w:val="en-US"/>
        </w:rPr>
        <w:t>Language of the procedure</w:t>
      </w:r>
    </w:p>
    <w:p w14:paraId="6CDFA671" w14:textId="067D5B16" w:rsidR="00A95A76" w:rsidRPr="005F26F4" w:rsidRDefault="00A95A76" w:rsidP="0057553C">
      <w:pPr>
        <w:ind w:left="426"/>
        <w:jc w:val="both"/>
        <w:rPr>
          <w:sz w:val="22"/>
          <w:szCs w:val="22"/>
          <w:lang w:val="en-US"/>
        </w:rPr>
      </w:pPr>
      <w:r w:rsidRPr="005F26F4">
        <w:rPr>
          <w:sz w:val="22"/>
          <w:szCs w:val="22"/>
          <w:lang w:val="en-US"/>
        </w:rPr>
        <w:t xml:space="preserve">All written communications for this tender procedure and contract must be in English. </w:t>
      </w:r>
    </w:p>
    <w:p w14:paraId="5B013D7A" w14:textId="77777777" w:rsidR="00A95A76" w:rsidRPr="005F26F4" w:rsidRDefault="00A95A76" w:rsidP="00A95A76">
      <w:pPr>
        <w:pStyle w:val="PRAGHeading2"/>
        <w:tabs>
          <w:tab w:val="clear" w:pos="567"/>
          <w:tab w:val="num" w:pos="426"/>
        </w:tabs>
        <w:ind w:hanging="567"/>
        <w:rPr>
          <w:rStyle w:val="Strong"/>
          <w:sz w:val="22"/>
          <w:szCs w:val="22"/>
          <w:lang w:val="en-US"/>
        </w:rPr>
      </w:pPr>
      <w:r w:rsidRPr="005F26F4">
        <w:rPr>
          <w:rStyle w:val="Strong"/>
          <w:sz w:val="22"/>
          <w:szCs w:val="22"/>
          <w:lang w:val="en-US"/>
        </w:rPr>
        <w:t>Additional information</w:t>
      </w:r>
    </w:p>
    <w:p w14:paraId="59A0580C" w14:textId="52AD30AB" w:rsidR="00A95A76" w:rsidRPr="005F26F4" w:rsidRDefault="00A95A76" w:rsidP="00DC3164">
      <w:pPr>
        <w:pStyle w:val="PRAGHeading2"/>
        <w:numPr>
          <w:ilvl w:val="0"/>
          <w:numId w:val="0"/>
        </w:numPr>
        <w:ind w:left="426"/>
        <w:rPr>
          <w:sz w:val="22"/>
          <w:szCs w:val="22"/>
          <w:lang w:val="en-US"/>
        </w:rPr>
      </w:pPr>
      <w:r w:rsidRPr="005F26F4">
        <w:rPr>
          <w:sz w:val="22"/>
          <w:szCs w:val="22"/>
          <w:lang w:val="en-US"/>
        </w:rPr>
        <w:t xml:space="preserve">Financial data to be provided by the candidate in the request </w:t>
      </w:r>
      <w:r w:rsidR="00355942" w:rsidRPr="005F26F4">
        <w:rPr>
          <w:sz w:val="22"/>
          <w:szCs w:val="22"/>
          <w:lang w:val="en-US"/>
        </w:rPr>
        <w:t xml:space="preserve">to participate </w:t>
      </w:r>
      <w:r w:rsidRPr="005F26F4">
        <w:rPr>
          <w:sz w:val="22"/>
          <w:szCs w:val="22"/>
          <w:lang w:val="en-US"/>
        </w:rPr>
        <w:t xml:space="preserve">form or in the tender </w:t>
      </w:r>
      <w:r w:rsidR="00355942" w:rsidRPr="005F26F4">
        <w:rPr>
          <w:sz w:val="22"/>
          <w:szCs w:val="22"/>
          <w:lang w:val="en-US"/>
        </w:rPr>
        <w:t xml:space="preserve">submission </w:t>
      </w:r>
      <w:r w:rsidRPr="005F26F4">
        <w:rPr>
          <w:sz w:val="22"/>
          <w:szCs w:val="22"/>
          <w:lang w:val="en-US"/>
        </w:rPr>
        <w:t xml:space="preserve">form must be expressed in EUR. If applicable, where a candidate refers to amounts originally expressed in a different currency, the conversion to shall be made in accordance with the </w:t>
      </w:r>
      <w:proofErr w:type="spellStart"/>
      <w:r w:rsidRPr="005F26F4">
        <w:rPr>
          <w:sz w:val="22"/>
          <w:szCs w:val="22"/>
          <w:lang w:val="en-US"/>
        </w:rPr>
        <w:t>InforEuro</w:t>
      </w:r>
      <w:proofErr w:type="spellEnd"/>
      <w:r w:rsidRPr="005F26F4">
        <w:rPr>
          <w:sz w:val="22"/>
          <w:szCs w:val="22"/>
          <w:lang w:val="en-US"/>
        </w:rPr>
        <w:t xml:space="preserve"> exchange rate of</w:t>
      </w:r>
      <w:r w:rsidR="00DC3164" w:rsidRPr="005F26F4">
        <w:rPr>
          <w:sz w:val="22"/>
          <w:szCs w:val="22"/>
          <w:lang w:val="en-US"/>
        </w:rPr>
        <w:t xml:space="preserve"> </w:t>
      </w:r>
      <w:r w:rsidRPr="005F26F4">
        <w:rPr>
          <w:sz w:val="22"/>
          <w:szCs w:val="22"/>
          <w:lang w:val="en-US"/>
        </w:rPr>
        <w:t xml:space="preserve">which can be found at the following address: </w:t>
      </w:r>
      <w:hyperlink r:id="rId12" w:history="1">
        <w:r w:rsidRPr="005F26F4">
          <w:rPr>
            <w:rStyle w:val="Hyperlink"/>
            <w:sz w:val="22"/>
            <w:szCs w:val="22"/>
            <w:lang w:val="en-US"/>
          </w:rPr>
          <w:t>http://ec.europa.eu/budget/graphs/inforeuro.html</w:t>
        </w:r>
      </w:hyperlink>
      <w:r w:rsidRPr="005F26F4">
        <w:rPr>
          <w:sz w:val="22"/>
          <w:szCs w:val="22"/>
          <w:lang w:val="en-US"/>
        </w:rPr>
        <w:t>.</w:t>
      </w:r>
    </w:p>
    <w:p w14:paraId="2D8E1DB0" w14:textId="77777777" w:rsidR="00BC5903" w:rsidRDefault="00BC5903">
      <w:pPr>
        <w:widowControl/>
        <w:spacing w:before="0" w:after="200" w:line="276" w:lineRule="auto"/>
        <w:rPr>
          <w:rStyle w:val="Strong"/>
          <w:sz w:val="22"/>
          <w:szCs w:val="22"/>
          <w:lang w:val="en-US"/>
        </w:rPr>
      </w:pPr>
      <w:r>
        <w:rPr>
          <w:rStyle w:val="Strong"/>
          <w:sz w:val="22"/>
          <w:szCs w:val="22"/>
          <w:lang w:val="en-US"/>
        </w:rPr>
        <w:br w:type="page"/>
      </w:r>
    </w:p>
    <w:p w14:paraId="45F104E9" w14:textId="694F7584" w:rsidR="00AA22A5" w:rsidRPr="005F26F4" w:rsidRDefault="00BC5903" w:rsidP="00075D67">
      <w:pPr>
        <w:keepNext/>
        <w:keepLines/>
        <w:jc w:val="center"/>
        <w:rPr>
          <w:rStyle w:val="Strong"/>
          <w:sz w:val="22"/>
          <w:szCs w:val="22"/>
          <w:lang w:val="en-US"/>
        </w:rPr>
      </w:pPr>
      <w:r>
        <w:rPr>
          <w:rStyle w:val="Strong"/>
          <w:sz w:val="22"/>
          <w:szCs w:val="22"/>
          <w:lang w:val="en-US"/>
        </w:rPr>
        <w:lastRenderedPageBreak/>
        <w:t xml:space="preserve">SELECTION </w:t>
      </w:r>
      <w:r w:rsidR="00AA22A5" w:rsidRPr="005F26F4">
        <w:rPr>
          <w:rStyle w:val="Strong"/>
          <w:sz w:val="22"/>
          <w:szCs w:val="22"/>
          <w:lang w:val="en-US"/>
        </w:rPr>
        <w:t>CRITERIA</w:t>
      </w:r>
    </w:p>
    <w:p w14:paraId="6B48819E" w14:textId="77777777" w:rsidR="00AA22A5" w:rsidRPr="005F26F4" w:rsidRDefault="00AA22A5" w:rsidP="00AC4ADC">
      <w:pPr>
        <w:pStyle w:val="PRAGHeading2"/>
        <w:ind w:left="426" w:hanging="426"/>
        <w:rPr>
          <w:rStyle w:val="Strong"/>
          <w:sz w:val="22"/>
          <w:szCs w:val="22"/>
          <w:lang w:val="en-US"/>
        </w:rPr>
      </w:pPr>
      <w:r w:rsidRPr="005F26F4">
        <w:rPr>
          <w:rStyle w:val="Strong"/>
          <w:sz w:val="22"/>
          <w:szCs w:val="22"/>
          <w:lang w:val="en-US"/>
        </w:rPr>
        <w:t>Selection criteria</w:t>
      </w:r>
    </w:p>
    <w:p w14:paraId="57A183A2" w14:textId="77777777" w:rsidR="00AE0634" w:rsidRPr="005F26F4" w:rsidRDefault="00AE0634" w:rsidP="00AE0634">
      <w:pPr>
        <w:widowControl/>
        <w:spacing w:before="240" w:after="0"/>
        <w:ind w:left="426"/>
        <w:jc w:val="both"/>
        <w:rPr>
          <w:sz w:val="22"/>
          <w:szCs w:val="22"/>
          <w:lang w:val="en-US"/>
        </w:rPr>
      </w:pPr>
      <w:r w:rsidRPr="005F26F4">
        <w:rPr>
          <w:sz w:val="22"/>
          <w:szCs w:val="22"/>
          <w:lang w:val="en-US"/>
        </w:rPr>
        <w:t>Capacity-providing entities</w:t>
      </w:r>
    </w:p>
    <w:p w14:paraId="6A43B3CB" w14:textId="7971A066" w:rsidR="00AE0634" w:rsidRPr="005F26F4" w:rsidRDefault="00AE0634" w:rsidP="00AE0634">
      <w:pPr>
        <w:widowControl/>
        <w:spacing w:before="240" w:after="0"/>
        <w:ind w:left="426"/>
        <w:jc w:val="both"/>
        <w:rPr>
          <w:sz w:val="22"/>
          <w:szCs w:val="22"/>
          <w:lang w:val="en-US"/>
        </w:rPr>
      </w:pPr>
      <w:r w:rsidRPr="005F26F4">
        <w:rPr>
          <w:sz w:val="22"/>
          <w:szCs w:val="22"/>
          <w:lang w:val="en-US"/>
        </w:rPr>
        <w:t>An economic operator (i.e. candidate or tenderer) may, where appropriate and for a particular contract, rely on the capacities of other entities, regardless of the legal nature of the links</w:t>
      </w:r>
      <w:r w:rsidR="003335AD" w:rsidRPr="005F26F4">
        <w:rPr>
          <w:sz w:val="22"/>
          <w:szCs w:val="22"/>
          <w:lang w:val="en-US"/>
        </w:rPr>
        <w:t xml:space="preserve"> </w:t>
      </w:r>
      <w:r w:rsidRPr="005F26F4">
        <w:rPr>
          <w:sz w:val="22"/>
          <w:szCs w:val="22"/>
          <w:lang w:val="en-US"/>
        </w:rPr>
        <w:t>which it has with them. If the economic operator relies on other entities</w:t>
      </w:r>
      <w:r w:rsidR="00AA11FD" w:rsidRPr="005F26F4">
        <w:rPr>
          <w:sz w:val="22"/>
          <w:szCs w:val="22"/>
          <w:lang w:val="en-US"/>
        </w:rPr>
        <w:t>,</w:t>
      </w:r>
      <w:r w:rsidRPr="005F26F4">
        <w:rPr>
          <w:sz w:val="22"/>
          <w:szCs w:val="22"/>
          <w:lang w:val="en-US"/>
        </w:rPr>
        <w:t xml:space="preserve"> it must in that case prove to the contracting authority that it will have at its disposal the resources necessary for</w:t>
      </w:r>
      <w:r w:rsidR="000D53E3" w:rsidRPr="005F26F4">
        <w:rPr>
          <w:sz w:val="22"/>
          <w:szCs w:val="22"/>
          <w:lang w:val="en-US"/>
        </w:rPr>
        <w:t xml:space="preserve"> the</w:t>
      </w:r>
      <w:r w:rsidRPr="005F26F4">
        <w:rPr>
          <w:sz w:val="22"/>
          <w:szCs w:val="22"/>
          <w:lang w:val="en-US"/>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5F26F4">
        <w:rPr>
          <w:b/>
          <w:sz w:val="22"/>
          <w:szCs w:val="22"/>
          <w:lang w:val="en-US"/>
        </w:rPr>
        <w:t>Furthermore, the data for this third entity for the relevant selection criterion should be included in a separate document</w:t>
      </w:r>
      <w:r w:rsidRPr="005F26F4">
        <w:rPr>
          <w:sz w:val="22"/>
          <w:szCs w:val="22"/>
          <w:lang w:val="en-US"/>
        </w:rPr>
        <w:t>. Proof of the capacity will also have to be provided when requested by the contracting authority.</w:t>
      </w:r>
    </w:p>
    <w:p w14:paraId="425559B3" w14:textId="77777777" w:rsidR="00AE0634" w:rsidRPr="005F26F4" w:rsidRDefault="00AE0634" w:rsidP="00AE0634">
      <w:pPr>
        <w:widowControl/>
        <w:spacing w:before="240" w:after="0"/>
        <w:ind w:left="426"/>
        <w:jc w:val="both"/>
        <w:rPr>
          <w:sz w:val="22"/>
          <w:szCs w:val="22"/>
          <w:lang w:val="en-US"/>
        </w:rPr>
      </w:pPr>
      <w:proofErr w:type="gramStart"/>
      <w:r w:rsidRPr="005F26F4">
        <w:rPr>
          <w:sz w:val="22"/>
          <w:szCs w:val="22"/>
          <w:lang w:val="en-US"/>
        </w:rPr>
        <w:t>With regard to</w:t>
      </w:r>
      <w:proofErr w:type="gramEnd"/>
      <w:r w:rsidRPr="005F26F4">
        <w:rPr>
          <w:sz w:val="22"/>
          <w:szCs w:val="22"/>
          <w:lang w:val="en-US"/>
        </w:rPr>
        <w:t xml:space="preserve"> technical and professional criteria, an economic operator may only rely on the capacities of other entities where the latter will perform the tasks for which these capacities are required. </w:t>
      </w:r>
    </w:p>
    <w:p w14:paraId="0F7B68BC" w14:textId="48BC46F6" w:rsidR="00AE0634" w:rsidRPr="005F26F4" w:rsidRDefault="00AE0634" w:rsidP="00643F9A">
      <w:pPr>
        <w:widowControl/>
        <w:spacing w:before="240" w:after="0"/>
        <w:ind w:left="426"/>
        <w:jc w:val="both"/>
        <w:rPr>
          <w:sz w:val="22"/>
          <w:szCs w:val="22"/>
          <w:highlight w:val="yellow"/>
          <w:lang w:val="en-US"/>
        </w:rPr>
      </w:pPr>
      <w:proofErr w:type="gramStart"/>
      <w:r w:rsidRPr="005F26F4">
        <w:rPr>
          <w:sz w:val="22"/>
          <w:szCs w:val="22"/>
          <w:lang w:val="en-US"/>
        </w:rPr>
        <w:t>With regard to</w:t>
      </w:r>
      <w:proofErr w:type="gramEnd"/>
      <w:r w:rsidRPr="005F26F4">
        <w:rPr>
          <w:sz w:val="22"/>
          <w:szCs w:val="22"/>
          <w:lang w:val="en-US"/>
        </w:rPr>
        <w:t xml:space="preserve"> economic and financial criteria, the entities upon whose capacity the economic operator relies, become jointly and severally liable for t</w:t>
      </w:r>
      <w:r w:rsidR="000D53E3" w:rsidRPr="005F26F4">
        <w:rPr>
          <w:sz w:val="22"/>
          <w:szCs w:val="22"/>
          <w:lang w:val="en-US"/>
        </w:rPr>
        <w:t>he performance of the contract.</w:t>
      </w:r>
    </w:p>
    <w:p w14:paraId="7E766A39" w14:textId="1BC9CB1C" w:rsidR="00EA349D" w:rsidRPr="005F26F4" w:rsidRDefault="00993F6E" w:rsidP="0025703B">
      <w:pPr>
        <w:spacing w:before="240" w:after="0"/>
        <w:ind w:left="426" w:right="-48"/>
        <w:jc w:val="both"/>
        <w:rPr>
          <w:sz w:val="22"/>
          <w:szCs w:val="22"/>
          <w:lang w:val="en-US"/>
        </w:rPr>
      </w:pPr>
      <w:r w:rsidRPr="005F26F4">
        <w:rPr>
          <w:sz w:val="22"/>
          <w:szCs w:val="22"/>
          <w:lang w:val="en-US"/>
        </w:rPr>
        <w:t xml:space="preserve">The following selection criteria will be applied to candidates. In the case of </w:t>
      </w:r>
      <w:r w:rsidR="002F1DF5" w:rsidRPr="005F26F4">
        <w:rPr>
          <w:sz w:val="22"/>
          <w:szCs w:val="22"/>
          <w:lang w:val="en-US"/>
        </w:rPr>
        <w:t>requests to participate</w:t>
      </w:r>
      <w:r w:rsidRPr="005F26F4">
        <w:rPr>
          <w:sz w:val="22"/>
          <w:szCs w:val="22"/>
          <w:lang w:val="en-US"/>
        </w:rPr>
        <w:t xml:space="preserve"> submitted by a consortium, these selection criteria will be applied to the consortium </w:t>
      </w:r>
      <w:proofErr w:type="gramStart"/>
      <w:r w:rsidRPr="005F26F4">
        <w:rPr>
          <w:sz w:val="22"/>
          <w:szCs w:val="22"/>
          <w:lang w:val="en-US"/>
        </w:rPr>
        <w:t>as a whole if</w:t>
      </w:r>
      <w:proofErr w:type="gramEnd"/>
      <w:r w:rsidRPr="005F26F4">
        <w:rPr>
          <w:sz w:val="22"/>
          <w:szCs w:val="22"/>
          <w:lang w:val="en-US"/>
        </w:rPr>
        <w:t xml:space="preserve"> not specified otherwise. The selection criteria will not be applied to natural persons and single-member companies when they are sub-contractors.</w:t>
      </w:r>
    </w:p>
    <w:p w14:paraId="125E326F" w14:textId="77777777" w:rsidR="00EA349D" w:rsidRPr="005F26F4" w:rsidRDefault="00EA349D" w:rsidP="00242F6D">
      <w:pPr>
        <w:spacing w:before="240"/>
        <w:ind w:left="414"/>
        <w:jc w:val="both"/>
        <w:rPr>
          <w:sz w:val="22"/>
          <w:szCs w:val="22"/>
          <w:lang w:val="en-US"/>
        </w:rPr>
      </w:pPr>
      <w:r w:rsidRPr="005F26F4">
        <w:rPr>
          <w:sz w:val="22"/>
          <w:szCs w:val="22"/>
          <w:lang w:val="en-US"/>
        </w:rPr>
        <w:t>The candidate shall not use previous experience which caused breach of contract and termination by a contracting authority as a reference for selection criteria.</w:t>
      </w:r>
    </w:p>
    <w:p w14:paraId="5594B7AA" w14:textId="6C524722" w:rsidR="00943C88" w:rsidRPr="005F26F4" w:rsidRDefault="00943C88" w:rsidP="00943C88">
      <w:pPr>
        <w:ind w:firstLine="414"/>
        <w:rPr>
          <w:sz w:val="22"/>
          <w:szCs w:val="22"/>
          <w:lang w:val="en-US"/>
        </w:rPr>
      </w:pPr>
      <w:r w:rsidRPr="005F26F4">
        <w:rPr>
          <w:sz w:val="22"/>
          <w:szCs w:val="22"/>
          <w:lang w:val="en-US"/>
        </w:rPr>
        <w:t>The selection criteria for each tenderer are as follows:</w:t>
      </w:r>
    </w:p>
    <w:p w14:paraId="74CAEB71" w14:textId="5D3AA765" w:rsidR="00F33CD5" w:rsidRPr="005F26F4" w:rsidRDefault="00AA22A5" w:rsidP="00505A00">
      <w:pPr>
        <w:pStyle w:val="Blockquote"/>
        <w:numPr>
          <w:ilvl w:val="0"/>
          <w:numId w:val="22"/>
        </w:numPr>
        <w:ind w:left="757" w:right="-48"/>
        <w:jc w:val="both"/>
        <w:rPr>
          <w:sz w:val="22"/>
          <w:szCs w:val="22"/>
          <w:lang w:val="en-US"/>
        </w:rPr>
      </w:pPr>
      <w:r w:rsidRPr="005F26F4">
        <w:rPr>
          <w:b/>
          <w:sz w:val="22"/>
          <w:szCs w:val="22"/>
          <w:u w:val="single"/>
          <w:lang w:val="en-US"/>
        </w:rPr>
        <w:t>Economic and financial capacity</w:t>
      </w:r>
      <w:r w:rsidR="00F33CD5" w:rsidRPr="005F26F4">
        <w:rPr>
          <w:sz w:val="22"/>
          <w:szCs w:val="22"/>
          <w:lang w:val="en-US"/>
        </w:rPr>
        <w:t xml:space="preserve"> </w:t>
      </w:r>
      <w:r w:rsidR="00F33CD5" w:rsidRPr="005F26F4">
        <w:rPr>
          <w:b/>
          <w:sz w:val="22"/>
          <w:szCs w:val="22"/>
          <w:lang w:val="en-US"/>
        </w:rPr>
        <w:t>(</w:t>
      </w:r>
      <w:r w:rsidR="00F33CD5" w:rsidRPr="005F26F4">
        <w:rPr>
          <w:sz w:val="22"/>
          <w:szCs w:val="22"/>
          <w:lang w:val="en-US"/>
        </w:rPr>
        <w:t>based on item</w:t>
      </w:r>
      <w:r w:rsidR="00AA11FD" w:rsidRPr="005F26F4">
        <w:rPr>
          <w:sz w:val="22"/>
          <w:szCs w:val="22"/>
          <w:lang w:val="en-US"/>
        </w:rPr>
        <w:t xml:space="preserve"> </w:t>
      </w:r>
      <w:r w:rsidR="00F33CD5" w:rsidRPr="005F26F4">
        <w:rPr>
          <w:sz w:val="22"/>
          <w:szCs w:val="22"/>
          <w:lang w:val="en-US"/>
        </w:rPr>
        <w:t xml:space="preserve">3 of supply tender form). In case of candidate being a public body, equivalent information should be provided. The reference period which will be </w:t>
      </w:r>
      <w:proofErr w:type="gramStart"/>
      <w:r w:rsidR="00F33CD5" w:rsidRPr="005F26F4">
        <w:rPr>
          <w:sz w:val="22"/>
          <w:szCs w:val="22"/>
          <w:lang w:val="en-US"/>
        </w:rPr>
        <w:t>taken into account</w:t>
      </w:r>
      <w:proofErr w:type="gramEnd"/>
      <w:r w:rsidR="00F33CD5" w:rsidRPr="005F26F4">
        <w:rPr>
          <w:sz w:val="22"/>
          <w:szCs w:val="22"/>
          <w:lang w:val="en-US"/>
        </w:rPr>
        <w:t xml:space="preserve"> will be the last three years for which accounts have been closed.</w:t>
      </w:r>
    </w:p>
    <w:p w14:paraId="3EC13743" w14:textId="77777777" w:rsidR="005A76EA" w:rsidRPr="002512D9" w:rsidRDefault="005A76EA" w:rsidP="005A76EA">
      <w:pPr>
        <w:ind w:left="810" w:right="78"/>
        <w:rPr>
          <w:sz w:val="22"/>
          <w:szCs w:val="22"/>
          <w:lang w:val="en-US"/>
        </w:rPr>
      </w:pPr>
      <w:r w:rsidRPr="005F26F4">
        <w:rPr>
          <w:sz w:val="22"/>
          <w:szCs w:val="22"/>
          <w:lang w:val="en-US"/>
        </w:rPr>
        <w:t xml:space="preserve">the average annual turnover of the tenderer over the period of </w:t>
      </w:r>
      <w:r w:rsidRPr="005F26F4">
        <w:rPr>
          <w:b/>
          <w:sz w:val="22"/>
          <w:szCs w:val="22"/>
          <w:lang w:val="en-US"/>
        </w:rPr>
        <w:t>2023-2024-2025</w:t>
      </w:r>
      <w:r w:rsidRPr="005F26F4">
        <w:rPr>
          <w:sz w:val="22"/>
          <w:szCs w:val="22"/>
          <w:lang w:val="en-US"/>
        </w:rPr>
        <w:t xml:space="preserve"> must be </w:t>
      </w:r>
      <w:r w:rsidRPr="002512D9">
        <w:rPr>
          <w:sz w:val="22"/>
          <w:szCs w:val="22"/>
          <w:lang w:val="en-US"/>
        </w:rPr>
        <w:t xml:space="preserve">equal or </w:t>
      </w:r>
      <w:r w:rsidRPr="002512D9">
        <w:rPr>
          <w:b/>
          <w:sz w:val="22"/>
          <w:szCs w:val="22"/>
          <w:lang w:val="en-US"/>
        </w:rPr>
        <w:t>exceed:</w:t>
      </w:r>
    </w:p>
    <w:p w14:paraId="13A3279A" w14:textId="44DDA73F" w:rsidR="005A76EA" w:rsidRPr="002D2AE8" w:rsidRDefault="005A76EA" w:rsidP="005A76EA">
      <w:pPr>
        <w:widowControl/>
        <w:numPr>
          <w:ilvl w:val="1"/>
          <w:numId w:val="23"/>
        </w:numPr>
        <w:spacing w:before="0" w:after="89" w:line="248" w:lineRule="auto"/>
        <w:ind w:left="1260" w:right="78" w:hanging="409"/>
        <w:jc w:val="both"/>
        <w:rPr>
          <w:sz w:val="22"/>
          <w:szCs w:val="22"/>
          <w:lang w:val="en-US"/>
        </w:rPr>
      </w:pPr>
      <w:r w:rsidRPr="002D2AE8">
        <w:rPr>
          <w:b/>
          <w:sz w:val="22"/>
          <w:szCs w:val="22"/>
          <w:lang w:val="en-US"/>
        </w:rPr>
        <w:t xml:space="preserve">For Lot 1 </w:t>
      </w:r>
      <w:r w:rsidR="00C77E85" w:rsidRPr="002D2AE8">
        <w:rPr>
          <w:b/>
          <w:sz w:val="22"/>
          <w:szCs w:val="22"/>
          <w:lang w:val="en-US"/>
        </w:rPr>
        <w:t>–</w:t>
      </w:r>
      <w:r w:rsidRPr="002D2AE8">
        <w:rPr>
          <w:b/>
          <w:sz w:val="22"/>
          <w:szCs w:val="22"/>
          <w:lang w:val="en-US"/>
        </w:rPr>
        <w:t xml:space="preserve"> </w:t>
      </w:r>
      <w:r w:rsidR="00F177C6" w:rsidRPr="002D2AE8">
        <w:rPr>
          <w:b/>
          <w:sz w:val="22"/>
          <w:szCs w:val="22"/>
          <w:lang w:val="en-US"/>
        </w:rPr>
        <w:t>3</w:t>
      </w:r>
      <w:r w:rsidR="00C77E85" w:rsidRPr="002D2AE8">
        <w:rPr>
          <w:b/>
          <w:sz w:val="22"/>
          <w:szCs w:val="22"/>
          <w:lang w:val="en-US"/>
        </w:rPr>
        <w:t>,000</w:t>
      </w:r>
      <w:r w:rsidRPr="002D2AE8">
        <w:rPr>
          <w:b/>
          <w:sz w:val="22"/>
          <w:szCs w:val="22"/>
          <w:lang w:val="en-US"/>
        </w:rPr>
        <w:t>,000.00 EUR.</w:t>
      </w:r>
      <w:r w:rsidRPr="002D2AE8">
        <w:rPr>
          <w:sz w:val="22"/>
          <w:szCs w:val="22"/>
          <w:vertAlign w:val="superscript"/>
          <w:lang w:val="en-US"/>
        </w:rPr>
        <w:t xml:space="preserve"> </w:t>
      </w:r>
      <w:r w:rsidRPr="002D2AE8">
        <w:rPr>
          <w:sz w:val="22"/>
          <w:szCs w:val="22"/>
          <w:lang w:val="en-US"/>
        </w:rPr>
        <w:t xml:space="preserve"> </w:t>
      </w:r>
    </w:p>
    <w:p w14:paraId="7532FF75" w14:textId="0429BB6A" w:rsidR="005A76EA" w:rsidRPr="002D2AE8" w:rsidRDefault="005A76EA" w:rsidP="005A76EA">
      <w:pPr>
        <w:widowControl/>
        <w:numPr>
          <w:ilvl w:val="1"/>
          <w:numId w:val="23"/>
        </w:numPr>
        <w:spacing w:before="0" w:after="89" w:line="248" w:lineRule="auto"/>
        <w:ind w:left="1260" w:right="78" w:hanging="409"/>
        <w:jc w:val="both"/>
        <w:rPr>
          <w:b/>
          <w:bCs/>
          <w:sz w:val="22"/>
          <w:szCs w:val="22"/>
          <w:lang w:val="en-US"/>
        </w:rPr>
      </w:pPr>
      <w:r w:rsidRPr="002D2AE8">
        <w:rPr>
          <w:b/>
          <w:bCs/>
          <w:sz w:val="22"/>
          <w:szCs w:val="22"/>
          <w:lang w:val="en-US"/>
        </w:rPr>
        <w:t xml:space="preserve">For Lot 2 - </w:t>
      </w:r>
      <w:r w:rsidR="00462138" w:rsidRPr="002D2AE8">
        <w:rPr>
          <w:b/>
          <w:sz w:val="22"/>
          <w:szCs w:val="22"/>
          <w:lang w:val="en-US"/>
        </w:rPr>
        <w:t>5</w:t>
      </w:r>
      <w:r w:rsidR="00C77E85" w:rsidRPr="002D2AE8">
        <w:rPr>
          <w:b/>
          <w:sz w:val="22"/>
          <w:szCs w:val="22"/>
          <w:lang w:val="en-US"/>
        </w:rPr>
        <w:t xml:space="preserve">00,000.00 </w:t>
      </w:r>
      <w:r w:rsidRPr="002D2AE8">
        <w:rPr>
          <w:b/>
          <w:sz w:val="22"/>
          <w:szCs w:val="22"/>
          <w:lang w:val="en-US"/>
        </w:rPr>
        <w:t>EUR.</w:t>
      </w:r>
      <w:r w:rsidRPr="002D2AE8">
        <w:rPr>
          <w:sz w:val="22"/>
          <w:szCs w:val="22"/>
          <w:vertAlign w:val="superscript"/>
          <w:lang w:val="en-US"/>
        </w:rPr>
        <w:t xml:space="preserve"> </w:t>
      </w:r>
      <w:r w:rsidRPr="002D2AE8">
        <w:rPr>
          <w:sz w:val="22"/>
          <w:szCs w:val="22"/>
          <w:lang w:val="en-US"/>
        </w:rPr>
        <w:t xml:space="preserve"> </w:t>
      </w:r>
    </w:p>
    <w:p w14:paraId="407F1467" w14:textId="4B6E8A41" w:rsidR="005A76EA" w:rsidRPr="002D2AE8" w:rsidRDefault="005A76EA" w:rsidP="005A76EA">
      <w:pPr>
        <w:widowControl/>
        <w:numPr>
          <w:ilvl w:val="1"/>
          <w:numId w:val="23"/>
        </w:numPr>
        <w:spacing w:before="0" w:after="89" w:line="248" w:lineRule="auto"/>
        <w:ind w:left="1260" w:right="78" w:hanging="409"/>
        <w:jc w:val="both"/>
        <w:rPr>
          <w:b/>
          <w:bCs/>
          <w:sz w:val="22"/>
          <w:szCs w:val="22"/>
          <w:lang w:val="en-US"/>
        </w:rPr>
      </w:pPr>
      <w:r w:rsidRPr="002D2AE8">
        <w:rPr>
          <w:b/>
          <w:bCs/>
          <w:sz w:val="22"/>
          <w:szCs w:val="22"/>
          <w:lang w:val="en-US"/>
        </w:rPr>
        <w:t xml:space="preserve">For Lot 3 - </w:t>
      </w:r>
      <w:r w:rsidR="00462138" w:rsidRPr="002D2AE8">
        <w:rPr>
          <w:b/>
          <w:sz w:val="22"/>
          <w:szCs w:val="22"/>
          <w:lang w:val="en-US"/>
        </w:rPr>
        <w:t>5</w:t>
      </w:r>
      <w:r w:rsidR="00C77E85" w:rsidRPr="002D2AE8">
        <w:rPr>
          <w:b/>
          <w:sz w:val="22"/>
          <w:szCs w:val="22"/>
          <w:lang w:val="en-US"/>
        </w:rPr>
        <w:t xml:space="preserve">00,000.00 </w:t>
      </w:r>
      <w:r w:rsidRPr="002D2AE8">
        <w:rPr>
          <w:b/>
          <w:sz w:val="22"/>
          <w:szCs w:val="22"/>
          <w:lang w:val="en-US"/>
        </w:rPr>
        <w:t>EUR.</w:t>
      </w:r>
      <w:r w:rsidRPr="002D2AE8">
        <w:rPr>
          <w:sz w:val="22"/>
          <w:szCs w:val="22"/>
          <w:vertAlign w:val="superscript"/>
          <w:lang w:val="en-US"/>
        </w:rPr>
        <w:t xml:space="preserve"> </w:t>
      </w:r>
      <w:r w:rsidRPr="002D2AE8">
        <w:rPr>
          <w:sz w:val="22"/>
          <w:szCs w:val="22"/>
          <w:lang w:val="en-US"/>
        </w:rPr>
        <w:t xml:space="preserve"> </w:t>
      </w:r>
    </w:p>
    <w:p w14:paraId="5F8EC7E8" w14:textId="19B57698" w:rsidR="005A76EA" w:rsidRPr="002A7311" w:rsidRDefault="005A76EA" w:rsidP="005A76EA">
      <w:pPr>
        <w:widowControl/>
        <w:spacing w:before="0" w:after="89" w:line="248" w:lineRule="auto"/>
        <w:ind w:left="796" w:right="78"/>
        <w:jc w:val="both"/>
        <w:rPr>
          <w:b/>
          <w:sz w:val="22"/>
          <w:szCs w:val="22"/>
          <w:lang w:val="en-US"/>
        </w:rPr>
      </w:pPr>
      <w:r w:rsidRPr="005F26F4">
        <w:rPr>
          <w:b/>
          <w:sz w:val="22"/>
          <w:szCs w:val="22"/>
          <w:lang w:val="en-US"/>
        </w:rPr>
        <w:t xml:space="preserve">If a tenderer is bidding for more than one lot, the average annual turnover must exceed </w:t>
      </w:r>
      <w:r w:rsidRPr="002A7311">
        <w:rPr>
          <w:b/>
          <w:sz w:val="22"/>
          <w:szCs w:val="22"/>
          <w:lang w:val="en-US"/>
        </w:rPr>
        <w:t xml:space="preserve">the cumulative amount of all selection criteria per lot (indicated above). For example, in case of bidding for lots 1 and 2, the average annual turnover must be equal or exceed </w:t>
      </w:r>
      <w:r w:rsidR="00F177C6">
        <w:rPr>
          <w:b/>
          <w:sz w:val="22"/>
          <w:szCs w:val="22"/>
          <w:lang w:val="en-US"/>
        </w:rPr>
        <w:t>3,</w:t>
      </w:r>
      <w:r w:rsidR="004D5345" w:rsidRPr="002A7311">
        <w:rPr>
          <w:b/>
          <w:sz w:val="22"/>
          <w:szCs w:val="22"/>
          <w:lang w:val="en-US"/>
        </w:rPr>
        <w:t>5</w:t>
      </w:r>
      <w:r w:rsidRPr="002A7311">
        <w:rPr>
          <w:b/>
          <w:sz w:val="22"/>
          <w:szCs w:val="22"/>
          <w:lang w:val="en-US"/>
        </w:rPr>
        <w:t>00</w:t>
      </w:r>
      <w:r w:rsidR="002A7311" w:rsidRPr="002A7311">
        <w:rPr>
          <w:b/>
          <w:sz w:val="22"/>
          <w:szCs w:val="22"/>
          <w:lang w:val="en-US"/>
        </w:rPr>
        <w:t>,000</w:t>
      </w:r>
      <w:r w:rsidRPr="002A7311">
        <w:rPr>
          <w:b/>
          <w:sz w:val="22"/>
          <w:szCs w:val="22"/>
          <w:lang w:val="en-US"/>
        </w:rPr>
        <w:t>.00 EUR (</w:t>
      </w:r>
      <w:r w:rsidR="00F177C6">
        <w:rPr>
          <w:b/>
          <w:sz w:val="22"/>
          <w:szCs w:val="22"/>
          <w:lang w:val="en-US"/>
        </w:rPr>
        <w:t>3</w:t>
      </w:r>
      <w:r w:rsidR="002A7311" w:rsidRPr="002A7311">
        <w:rPr>
          <w:b/>
          <w:sz w:val="22"/>
          <w:szCs w:val="22"/>
          <w:lang w:val="en-US"/>
        </w:rPr>
        <w:t>,000</w:t>
      </w:r>
      <w:r w:rsidRPr="002A7311">
        <w:rPr>
          <w:b/>
          <w:sz w:val="22"/>
          <w:szCs w:val="22"/>
          <w:lang w:val="en-US"/>
        </w:rPr>
        <w:t xml:space="preserve">,000.00 + </w:t>
      </w:r>
      <w:r w:rsidR="002A7311" w:rsidRPr="002A7311">
        <w:rPr>
          <w:b/>
          <w:sz w:val="22"/>
          <w:szCs w:val="22"/>
          <w:lang w:val="en-US"/>
        </w:rPr>
        <w:t>500</w:t>
      </w:r>
      <w:r w:rsidRPr="002A7311">
        <w:rPr>
          <w:b/>
          <w:sz w:val="22"/>
          <w:szCs w:val="22"/>
          <w:lang w:val="en-US"/>
        </w:rPr>
        <w:t>,000.00)</w:t>
      </w:r>
    </w:p>
    <w:p w14:paraId="32A89E41" w14:textId="77777777" w:rsidR="005A76EA" w:rsidRPr="005F26F4" w:rsidRDefault="00052A32" w:rsidP="005A76EA">
      <w:pPr>
        <w:widowControl/>
        <w:numPr>
          <w:ilvl w:val="0"/>
          <w:numId w:val="23"/>
        </w:numPr>
        <w:spacing w:before="0" w:after="111" w:line="248" w:lineRule="auto"/>
        <w:ind w:right="78" w:hanging="360"/>
        <w:jc w:val="both"/>
        <w:rPr>
          <w:snapToGrid/>
          <w:color w:val="000000"/>
          <w:kern w:val="2"/>
          <w:sz w:val="22"/>
          <w:szCs w:val="22"/>
          <w:lang w:val="en-US"/>
          <w14:ligatures w14:val="standardContextual"/>
        </w:rPr>
      </w:pPr>
      <w:r w:rsidRPr="005F26F4">
        <w:rPr>
          <w:b/>
          <w:sz w:val="22"/>
          <w:szCs w:val="22"/>
          <w:u w:val="single" w:color="000000"/>
          <w:lang w:val="en-US"/>
        </w:rPr>
        <w:t>Professional capacity</w:t>
      </w:r>
      <w:r w:rsidRPr="005F26F4">
        <w:rPr>
          <w:sz w:val="22"/>
          <w:szCs w:val="22"/>
          <w:lang w:val="en-US"/>
        </w:rPr>
        <w:t xml:space="preserve"> </w:t>
      </w:r>
      <w:r w:rsidR="005A76EA" w:rsidRPr="005F26F4">
        <w:rPr>
          <w:snapToGrid/>
          <w:color w:val="000000"/>
          <w:kern w:val="2"/>
          <w:sz w:val="22"/>
          <w:szCs w:val="22"/>
          <w:lang w:val="en-US"/>
          <w14:ligatures w14:val="standardContextual"/>
        </w:rPr>
        <w:t xml:space="preserve">(based on items 4 and 5 of the tender form for supply contracts). The reference period which will be </w:t>
      </w:r>
      <w:proofErr w:type="gramStart"/>
      <w:r w:rsidR="005A76EA" w:rsidRPr="005F26F4">
        <w:rPr>
          <w:snapToGrid/>
          <w:color w:val="000000"/>
          <w:kern w:val="2"/>
          <w:sz w:val="22"/>
          <w:szCs w:val="22"/>
          <w:lang w:val="en-US"/>
          <w14:ligatures w14:val="standardContextual"/>
        </w:rPr>
        <w:t>taken into account</w:t>
      </w:r>
      <w:proofErr w:type="gramEnd"/>
      <w:r w:rsidR="005A76EA" w:rsidRPr="005F26F4">
        <w:rPr>
          <w:snapToGrid/>
          <w:color w:val="000000"/>
          <w:kern w:val="2"/>
          <w:sz w:val="22"/>
          <w:szCs w:val="22"/>
          <w:lang w:val="en-US"/>
          <w14:ligatures w14:val="standardContextual"/>
        </w:rPr>
        <w:t xml:space="preserve"> will be the last three years preceding the submission deadline. </w:t>
      </w:r>
    </w:p>
    <w:p w14:paraId="2A3C70F9" w14:textId="1DD73457" w:rsidR="00627D6B" w:rsidRDefault="005A76EA" w:rsidP="00C92463">
      <w:pPr>
        <w:widowControl/>
        <w:numPr>
          <w:ilvl w:val="1"/>
          <w:numId w:val="23"/>
        </w:numPr>
        <w:spacing w:before="0" w:after="89" w:line="248" w:lineRule="auto"/>
        <w:ind w:right="78" w:hanging="10"/>
        <w:jc w:val="both"/>
        <w:rPr>
          <w:snapToGrid/>
          <w:color w:val="000000"/>
          <w:kern w:val="2"/>
          <w:sz w:val="22"/>
          <w:szCs w:val="22"/>
          <w:lang w:val="en-US"/>
          <w14:ligatures w14:val="standardContextual"/>
        </w:rPr>
      </w:pPr>
      <w:r w:rsidRPr="005F26F4">
        <w:rPr>
          <w:snapToGrid/>
          <w:color w:val="000000"/>
          <w:kern w:val="2"/>
          <w:sz w:val="22"/>
          <w:szCs w:val="22"/>
          <w:lang w:val="en-US"/>
          <w14:ligatures w14:val="standardContextual"/>
        </w:rPr>
        <w:t>the tenderer has at least 3 staff currently working for the tenderer in fields related to this contract</w:t>
      </w:r>
      <w:r w:rsidR="002923CB" w:rsidRPr="005F26F4">
        <w:rPr>
          <w:snapToGrid/>
          <w:color w:val="000000"/>
          <w:kern w:val="2"/>
          <w:sz w:val="22"/>
          <w:szCs w:val="22"/>
          <w:lang w:val="en-US"/>
          <w14:ligatures w14:val="standardContextual"/>
        </w:rPr>
        <w:t>;</w:t>
      </w:r>
    </w:p>
    <w:p w14:paraId="6390CB8E" w14:textId="4BA58390" w:rsidR="00694888" w:rsidRPr="001929B2" w:rsidRDefault="001929B2" w:rsidP="00C92463">
      <w:pPr>
        <w:widowControl/>
        <w:numPr>
          <w:ilvl w:val="1"/>
          <w:numId w:val="23"/>
        </w:numPr>
        <w:spacing w:before="0" w:after="89" w:line="248" w:lineRule="auto"/>
        <w:ind w:right="78" w:hanging="10"/>
        <w:jc w:val="both"/>
        <w:rPr>
          <w:snapToGrid/>
          <w:color w:val="000000"/>
          <w:kern w:val="2"/>
          <w:sz w:val="22"/>
          <w:szCs w:val="22"/>
          <w:lang w:val="en-US"/>
          <w14:ligatures w14:val="standardContextual"/>
        </w:rPr>
      </w:pPr>
      <w:r w:rsidRPr="001929B2">
        <w:rPr>
          <w:bCs/>
          <w:snapToGrid/>
          <w:color w:val="000000"/>
          <w:kern w:val="2"/>
          <w:sz w:val="22"/>
          <w:szCs w:val="22"/>
          <w:lang w:val="en-US"/>
          <w14:ligatures w14:val="standardContextual"/>
        </w:rPr>
        <w:t>t</w:t>
      </w:r>
      <w:r w:rsidR="00694888" w:rsidRPr="001929B2">
        <w:rPr>
          <w:bCs/>
          <w:snapToGrid/>
          <w:color w:val="000000"/>
          <w:kern w:val="2"/>
          <w:sz w:val="22"/>
          <w:szCs w:val="22"/>
          <w:lang w:val="en-US"/>
          <w14:ligatures w14:val="standardContextual"/>
        </w:rPr>
        <w:t xml:space="preserve">he tenderer must be an authorized partner or distributor of the manufacturer(s) for the proposed equipment, evidenced by a valid Partnership Certificate, or a Manufacturer </w:t>
      </w:r>
      <w:r w:rsidR="00694888" w:rsidRPr="001929B2">
        <w:rPr>
          <w:bCs/>
          <w:snapToGrid/>
          <w:color w:val="000000"/>
          <w:kern w:val="2"/>
          <w:sz w:val="22"/>
          <w:szCs w:val="22"/>
          <w:lang w:val="en-US"/>
          <w14:ligatures w14:val="standardContextual"/>
        </w:rPr>
        <w:lastRenderedPageBreak/>
        <w:t>Authorization Form (Letter of confirmation).</w:t>
      </w:r>
      <w:r w:rsidR="00F177C6">
        <w:rPr>
          <w:bCs/>
          <w:snapToGrid/>
          <w:color w:val="000000"/>
          <w:kern w:val="2"/>
          <w:sz w:val="22"/>
          <w:szCs w:val="22"/>
          <w:lang w:val="en-US"/>
          <w14:ligatures w14:val="standardContextual"/>
        </w:rPr>
        <w:t xml:space="preserve"> Copies of such certificates, forms or letters shall be provided by the tenderers as attachments to the tender submission form. </w:t>
      </w:r>
    </w:p>
    <w:p w14:paraId="7173C08F" w14:textId="77777777" w:rsidR="005A76EA" w:rsidRPr="005F26F4" w:rsidRDefault="005A76EA" w:rsidP="005A76EA">
      <w:pPr>
        <w:widowControl/>
        <w:spacing w:before="0" w:after="89" w:line="248" w:lineRule="auto"/>
        <w:ind w:left="851" w:right="78"/>
        <w:jc w:val="both"/>
        <w:rPr>
          <w:b/>
          <w:bCs/>
          <w:snapToGrid/>
          <w:color w:val="000000"/>
          <w:kern w:val="2"/>
          <w:sz w:val="22"/>
          <w:szCs w:val="22"/>
          <w:lang w:val="en-US"/>
          <w14:ligatures w14:val="standardContextual"/>
        </w:rPr>
      </w:pPr>
      <w:r w:rsidRPr="005F26F4">
        <w:rPr>
          <w:b/>
          <w:bCs/>
          <w:snapToGrid/>
          <w:color w:val="000000"/>
          <w:kern w:val="2"/>
          <w:sz w:val="22"/>
          <w:szCs w:val="22"/>
          <w:lang w:val="en-US"/>
          <w14:ligatures w14:val="standardContextual"/>
        </w:rPr>
        <w:t>If a tenderer is bidding for several lots, the required number of staff currently working for the tenderer in fields related to this contract remains at least 3.</w:t>
      </w:r>
    </w:p>
    <w:p w14:paraId="24199B66" w14:textId="084242F9" w:rsidR="00E04B6B" w:rsidRPr="00AF5E1A" w:rsidRDefault="00E04B6B" w:rsidP="00823D2D">
      <w:pPr>
        <w:pStyle w:val="Blockquote"/>
        <w:numPr>
          <w:ilvl w:val="0"/>
          <w:numId w:val="22"/>
        </w:numPr>
        <w:tabs>
          <w:tab w:val="left" w:pos="8647"/>
        </w:tabs>
        <w:ind w:right="0"/>
        <w:jc w:val="both"/>
        <w:rPr>
          <w:sz w:val="22"/>
          <w:szCs w:val="22"/>
          <w:lang w:val="en-US"/>
        </w:rPr>
      </w:pPr>
      <w:r w:rsidRPr="005F26F4">
        <w:rPr>
          <w:b/>
          <w:sz w:val="22"/>
          <w:szCs w:val="22"/>
          <w:u w:val="single"/>
          <w:lang w:val="en-US"/>
        </w:rPr>
        <w:t xml:space="preserve">Technical capacity </w:t>
      </w:r>
      <w:r w:rsidRPr="005F26F4">
        <w:rPr>
          <w:sz w:val="22"/>
          <w:szCs w:val="22"/>
          <w:lang w:val="en-US"/>
        </w:rPr>
        <w:t xml:space="preserve">(based on items 5 and 6 of </w:t>
      </w:r>
      <w:r w:rsidR="0048352B" w:rsidRPr="005F26F4">
        <w:rPr>
          <w:sz w:val="22"/>
          <w:szCs w:val="22"/>
          <w:lang w:val="en-US"/>
        </w:rPr>
        <w:t xml:space="preserve">the </w:t>
      </w:r>
      <w:r w:rsidR="00FF0AD1" w:rsidRPr="005F26F4">
        <w:rPr>
          <w:sz w:val="22"/>
          <w:szCs w:val="22"/>
          <w:lang w:val="en-US"/>
        </w:rPr>
        <w:t>t</w:t>
      </w:r>
      <w:r w:rsidR="0048352B" w:rsidRPr="005F26F4">
        <w:rPr>
          <w:sz w:val="22"/>
          <w:szCs w:val="22"/>
          <w:lang w:val="en-US"/>
        </w:rPr>
        <w:t xml:space="preserve">ender </w:t>
      </w:r>
      <w:r w:rsidR="00FF0AD1" w:rsidRPr="005F26F4">
        <w:rPr>
          <w:sz w:val="22"/>
          <w:szCs w:val="22"/>
          <w:lang w:val="en-US"/>
        </w:rPr>
        <w:t>f</w:t>
      </w:r>
      <w:r w:rsidR="0048352B" w:rsidRPr="005F26F4">
        <w:rPr>
          <w:sz w:val="22"/>
          <w:szCs w:val="22"/>
          <w:lang w:val="en-US"/>
        </w:rPr>
        <w:t>orm for supply</w:t>
      </w:r>
      <w:r w:rsidR="00404FF6" w:rsidRPr="005F26F4">
        <w:rPr>
          <w:sz w:val="22"/>
          <w:szCs w:val="22"/>
          <w:lang w:val="en-US"/>
        </w:rPr>
        <w:t xml:space="preserve"> </w:t>
      </w:r>
      <w:r w:rsidR="0048352B" w:rsidRPr="005F26F4">
        <w:rPr>
          <w:sz w:val="22"/>
          <w:szCs w:val="22"/>
          <w:lang w:val="en-US"/>
        </w:rPr>
        <w:t>contracts</w:t>
      </w:r>
      <w:r w:rsidRPr="005F26F4">
        <w:rPr>
          <w:sz w:val="22"/>
          <w:szCs w:val="22"/>
          <w:lang w:val="en-US"/>
        </w:rPr>
        <w:t xml:space="preserve">). The reference period which will be </w:t>
      </w:r>
      <w:proofErr w:type="gramStart"/>
      <w:r w:rsidRPr="005F26F4">
        <w:rPr>
          <w:sz w:val="22"/>
          <w:szCs w:val="22"/>
          <w:lang w:val="en-US"/>
        </w:rPr>
        <w:t>taken into account</w:t>
      </w:r>
      <w:proofErr w:type="gramEnd"/>
      <w:r w:rsidRPr="005F26F4">
        <w:rPr>
          <w:sz w:val="22"/>
          <w:szCs w:val="22"/>
          <w:lang w:val="en-US"/>
        </w:rPr>
        <w:t xml:space="preserve"> will be </w:t>
      </w:r>
      <w:r w:rsidR="00D16628" w:rsidRPr="005F26F4">
        <w:rPr>
          <w:sz w:val="22"/>
          <w:szCs w:val="22"/>
          <w:lang w:val="en-US"/>
        </w:rPr>
        <w:t>the last</w:t>
      </w:r>
      <w:r w:rsidR="003907E7" w:rsidRPr="005F26F4">
        <w:rPr>
          <w:sz w:val="22"/>
          <w:szCs w:val="22"/>
          <w:lang w:val="en-US"/>
        </w:rPr>
        <w:t xml:space="preserve"> three</w:t>
      </w:r>
      <w:r w:rsidRPr="005F26F4">
        <w:rPr>
          <w:sz w:val="22"/>
          <w:szCs w:val="22"/>
          <w:lang w:val="en-US"/>
        </w:rPr>
        <w:t xml:space="preserve"> years</w:t>
      </w:r>
      <w:r w:rsidR="00DC6227" w:rsidRPr="005F26F4">
        <w:rPr>
          <w:sz w:val="22"/>
          <w:szCs w:val="22"/>
          <w:lang w:val="en-US"/>
        </w:rPr>
        <w:t xml:space="preserve"> </w:t>
      </w:r>
      <w:r w:rsidRPr="005F26F4">
        <w:rPr>
          <w:sz w:val="22"/>
          <w:szCs w:val="22"/>
          <w:lang w:val="en-US"/>
        </w:rPr>
        <w:t>from submission deadline.</w:t>
      </w:r>
    </w:p>
    <w:p w14:paraId="57913902" w14:textId="5A947551" w:rsidR="00AF5E1A" w:rsidRPr="005F26F4" w:rsidRDefault="00AF5E1A" w:rsidP="00AF5E1A">
      <w:pPr>
        <w:pStyle w:val="Blockquote"/>
        <w:tabs>
          <w:tab w:val="left" w:pos="8647"/>
        </w:tabs>
        <w:ind w:left="840" w:right="0"/>
        <w:jc w:val="both"/>
        <w:rPr>
          <w:sz w:val="22"/>
          <w:szCs w:val="22"/>
          <w:lang w:val="en-US"/>
        </w:rPr>
      </w:pPr>
      <w:r>
        <w:rPr>
          <w:sz w:val="22"/>
          <w:szCs w:val="22"/>
          <w:lang w:val="en-US"/>
        </w:rPr>
        <w:t>T</w:t>
      </w:r>
      <w:r w:rsidRPr="00AF5E1A">
        <w:rPr>
          <w:sz w:val="22"/>
          <w:szCs w:val="22"/>
          <w:lang w:val="en-US"/>
        </w:rPr>
        <w:t>he tenderer has delivered supplies under at least one contract, implemented at any moment during the past three years preceding the submission deadline, with a budget of at least the amount indicated below, for the supply of goods which should be the same or similar to the ones described in the Annex II and III - Technical Specifications and Technical Offer:</w:t>
      </w:r>
    </w:p>
    <w:p w14:paraId="45CA359D" w14:textId="4636F80A" w:rsidR="005A76EA" w:rsidRPr="002D2AE8" w:rsidRDefault="005A76EA" w:rsidP="005A76EA">
      <w:pPr>
        <w:numPr>
          <w:ilvl w:val="0"/>
          <w:numId w:val="35"/>
        </w:numPr>
        <w:snapToGrid w:val="0"/>
        <w:ind w:right="357"/>
        <w:jc w:val="both"/>
        <w:rPr>
          <w:b/>
          <w:bCs/>
          <w:lang w:val="en-US"/>
        </w:rPr>
      </w:pPr>
      <w:r w:rsidRPr="002D2AE8">
        <w:rPr>
          <w:b/>
          <w:bCs/>
          <w:lang w:val="en-US"/>
        </w:rPr>
        <w:t xml:space="preserve">For lot 1:  </w:t>
      </w:r>
      <w:r w:rsidR="00041C50" w:rsidRPr="002D2AE8">
        <w:rPr>
          <w:b/>
          <w:bCs/>
          <w:lang w:val="uk-UA"/>
        </w:rPr>
        <w:t>1</w:t>
      </w:r>
      <w:r w:rsidR="00F177C6" w:rsidRPr="002D2AE8">
        <w:rPr>
          <w:b/>
          <w:bCs/>
          <w:lang w:val="en-US"/>
        </w:rPr>
        <w:t>,0</w:t>
      </w:r>
      <w:r w:rsidR="00102017" w:rsidRPr="002D2AE8">
        <w:rPr>
          <w:b/>
          <w:bCs/>
          <w:lang w:val="en-US"/>
        </w:rPr>
        <w:t>00</w:t>
      </w:r>
      <w:r w:rsidRPr="002D2AE8">
        <w:rPr>
          <w:b/>
          <w:bCs/>
          <w:lang w:val="en-US"/>
        </w:rPr>
        <w:t>,000.00 EUR</w:t>
      </w:r>
    </w:p>
    <w:p w14:paraId="79779D3A" w14:textId="508F4C53" w:rsidR="005A76EA" w:rsidRPr="002D2AE8" w:rsidRDefault="005A76EA" w:rsidP="005A76EA">
      <w:pPr>
        <w:numPr>
          <w:ilvl w:val="0"/>
          <w:numId w:val="35"/>
        </w:numPr>
        <w:snapToGrid w:val="0"/>
        <w:ind w:right="357"/>
        <w:jc w:val="both"/>
        <w:rPr>
          <w:b/>
          <w:bCs/>
          <w:lang w:val="en-US"/>
        </w:rPr>
      </w:pPr>
      <w:r w:rsidRPr="002D2AE8">
        <w:rPr>
          <w:b/>
          <w:bCs/>
          <w:lang w:val="en-US"/>
        </w:rPr>
        <w:t xml:space="preserve">For lot 2:  </w:t>
      </w:r>
      <w:r w:rsidR="00041C50" w:rsidRPr="002D2AE8">
        <w:rPr>
          <w:b/>
          <w:bCs/>
          <w:lang w:val="uk-UA"/>
        </w:rPr>
        <w:t>5</w:t>
      </w:r>
      <w:r w:rsidR="00041C50" w:rsidRPr="002D2AE8">
        <w:rPr>
          <w:b/>
          <w:bCs/>
          <w:lang w:val="en-US"/>
        </w:rPr>
        <w:t>00</w:t>
      </w:r>
      <w:r w:rsidRPr="002D2AE8">
        <w:rPr>
          <w:b/>
          <w:bCs/>
          <w:lang w:val="en-US"/>
        </w:rPr>
        <w:t>,000.00 EUR</w:t>
      </w:r>
    </w:p>
    <w:p w14:paraId="7CD7A810" w14:textId="748C2ACB" w:rsidR="005A76EA" w:rsidRPr="002D2AE8" w:rsidRDefault="005A76EA" w:rsidP="005A76EA">
      <w:pPr>
        <w:numPr>
          <w:ilvl w:val="0"/>
          <w:numId w:val="35"/>
        </w:numPr>
        <w:snapToGrid w:val="0"/>
        <w:ind w:right="357"/>
        <w:jc w:val="both"/>
        <w:rPr>
          <w:b/>
          <w:bCs/>
          <w:lang w:val="en-US"/>
        </w:rPr>
      </w:pPr>
      <w:r w:rsidRPr="002D2AE8">
        <w:rPr>
          <w:b/>
          <w:bCs/>
          <w:lang w:val="en-US"/>
        </w:rPr>
        <w:t xml:space="preserve">For lot 3:  </w:t>
      </w:r>
      <w:r w:rsidR="00041C50" w:rsidRPr="002D2AE8">
        <w:rPr>
          <w:b/>
          <w:bCs/>
          <w:lang w:val="uk-UA"/>
        </w:rPr>
        <w:t>3</w:t>
      </w:r>
      <w:r w:rsidR="00041C50" w:rsidRPr="002D2AE8">
        <w:rPr>
          <w:b/>
          <w:bCs/>
          <w:lang w:val="en-US"/>
        </w:rPr>
        <w:t>00</w:t>
      </w:r>
      <w:r w:rsidRPr="002D2AE8">
        <w:rPr>
          <w:b/>
          <w:bCs/>
          <w:lang w:val="en-US"/>
        </w:rPr>
        <w:t>,000.00 EUR</w:t>
      </w:r>
    </w:p>
    <w:p w14:paraId="0B76BFD9" w14:textId="0A1CD1FE" w:rsidR="005A76EA" w:rsidRPr="005F26F4" w:rsidRDefault="005A76EA" w:rsidP="008B6EDB">
      <w:pPr>
        <w:pStyle w:val="Blockquote"/>
        <w:spacing w:before="0" w:after="240"/>
        <w:ind w:left="796" w:right="0"/>
        <w:jc w:val="both"/>
        <w:rPr>
          <w:b/>
          <w:sz w:val="22"/>
          <w:szCs w:val="22"/>
          <w:lang w:val="en-US"/>
        </w:rPr>
      </w:pPr>
      <w:r w:rsidRPr="005F26F4">
        <w:rPr>
          <w:b/>
          <w:bCs/>
          <w:sz w:val="22"/>
          <w:szCs w:val="22"/>
          <w:lang w:val="en-US"/>
        </w:rPr>
        <w:t xml:space="preserve">Tenderers </w:t>
      </w:r>
      <w:r w:rsidRPr="005F26F4">
        <w:rPr>
          <w:b/>
          <w:sz w:val="22"/>
          <w:szCs w:val="22"/>
          <w:lang w:val="en-US"/>
        </w:rPr>
        <w:t>bidding for more than one lot shall satisfy the technical capacity requirement for each lot they are bidding. In such a case the tenderer can propose several contracts (one per each lot), or a single contract meeting the cumulative requirements indicated above.</w:t>
      </w:r>
    </w:p>
    <w:p w14:paraId="1093F454" w14:textId="45DF859B" w:rsidR="006D4EFB" w:rsidRDefault="000D0918" w:rsidP="008B6EDB">
      <w:pPr>
        <w:pStyle w:val="Blockquote"/>
        <w:spacing w:before="0" w:after="240"/>
        <w:ind w:left="796" w:right="0"/>
        <w:jc w:val="both"/>
        <w:rPr>
          <w:bCs/>
          <w:sz w:val="22"/>
          <w:szCs w:val="22"/>
          <w:u w:val="single"/>
          <w:lang w:val="en-US"/>
        </w:rPr>
      </w:pPr>
      <w:r w:rsidRPr="005F26F4">
        <w:rPr>
          <w:bCs/>
          <w:sz w:val="22"/>
          <w:szCs w:val="22"/>
          <w:u w:val="single"/>
          <w:lang w:val="en-US"/>
        </w:rPr>
        <w:t>The tenderer must provide documentary evidence confirming the availability of official service maintenance for the proposed equipment within Ukraine. Such evidence must be issued by the manufacturer or an official distributor and may take the form of an authorization letter, certificate, or agreement</w:t>
      </w:r>
      <w:r w:rsidR="005F26F4" w:rsidRPr="005F26F4">
        <w:rPr>
          <w:bCs/>
          <w:sz w:val="22"/>
          <w:szCs w:val="22"/>
          <w:u w:val="single"/>
          <w:lang w:val="en-US"/>
        </w:rPr>
        <w:t xml:space="preserve"> </w:t>
      </w:r>
      <w:r w:rsidRPr="005F26F4">
        <w:rPr>
          <w:bCs/>
          <w:sz w:val="22"/>
          <w:szCs w:val="22"/>
          <w:u w:val="single"/>
          <w:lang w:val="en-US"/>
        </w:rPr>
        <w:t>ensuring the proper fulfillment of all warranty obligations.</w:t>
      </w:r>
      <w:r w:rsidR="00F177C6">
        <w:rPr>
          <w:bCs/>
          <w:sz w:val="22"/>
          <w:szCs w:val="22"/>
          <w:u w:val="single"/>
          <w:lang w:val="en-US"/>
        </w:rPr>
        <w:t xml:space="preserve"> Such letters, certificates or agreements shall be submitted as annexes to the tender submission form.   </w:t>
      </w:r>
    </w:p>
    <w:p w14:paraId="2484154F" w14:textId="63D3629F" w:rsidR="00234F17" w:rsidRPr="005F26F4" w:rsidRDefault="00234F17" w:rsidP="008B6EDB">
      <w:pPr>
        <w:pStyle w:val="Blockquote"/>
        <w:spacing w:before="0" w:after="240"/>
        <w:ind w:left="796" w:right="0"/>
        <w:jc w:val="both"/>
        <w:rPr>
          <w:bCs/>
          <w:sz w:val="22"/>
          <w:szCs w:val="22"/>
          <w:u w:val="single"/>
          <w:lang w:val="en-US"/>
        </w:rPr>
      </w:pPr>
      <w:r w:rsidRPr="00234F17">
        <w:rPr>
          <w:bCs/>
          <w:sz w:val="22"/>
          <w:szCs w:val="22"/>
          <w:u w:val="single"/>
          <w:lang w:val="en-US"/>
        </w:rPr>
        <w:t>The Tenderer shall demonstrate the capacity to coordinate after-sales support through a dedicated technical department or an authorized service partner located in Ukraine.</w:t>
      </w:r>
    </w:p>
    <w:p w14:paraId="4A211AA5" w14:textId="65AAA7BE" w:rsidR="005A76EA" w:rsidRPr="005F26F4" w:rsidRDefault="005A76EA" w:rsidP="005A76EA">
      <w:pPr>
        <w:pStyle w:val="Blockquote"/>
        <w:spacing w:before="0" w:after="240"/>
        <w:ind w:left="796" w:right="0"/>
        <w:jc w:val="both"/>
        <w:rPr>
          <w:sz w:val="22"/>
          <w:szCs w:val="22"/>
          <w:lang w:val="en-US"/>
        </w:rPr>
      </w:pPr>
      <w:r w:rsidRPr="005F26F4">
        <w:rPr>
          <w:sz w:val="22"/>
          <w:szCs w:val="22"/>
          <w:lang w:val="en-US"/>
        </w:rPr>
        <w:t>The table under point 6 of the Tender Form, if duly filed in, will be accepted as satisfactory proof for the purposes of eligibility. The Contracting Authority reserves the right to ask for clarifications and/or documentary proof on the aforesaid table.</w:t>
      </w:r>
    </w:p>
    <w:p w14:paraId="7012CB93" w14:textId="2B15538B" w:rsidR="002C5850" w:rsidRPr="005F26F4" w:rsidRDefault="002C5850" w:rsidP="00D71A29">
      <w:pPr>
        <w:pStyle w:val="Blockquote"/>
        <w:spacing w:before="0" w:after="240"/>
        <w:ind w:left="796" w:right="0"/>
        <w:jc w:val="both"/>
        <w:rPr>
          <w:sz w:val="22"/>
          <w:szCs w:val="22"/>
          <w:lang w:val="en-US"/>
        </w:rPr>
      </w:pPr>
      <w:r w:rsidRPr="005F26F4">
        <w:rPr>
          <w:sz w:val="22"/>
          <w:szCs w:val="22"/>
          <w:lang w:val="en-US"/>
        </w:rPr>
        <w:t xml:space="preserve">This means that the contract the tenderer refers to could have been started at any time during the indicated </w:t>
      </w:r>
      <w:proofErr w:type="gramStart"/>
      <w:r w:rsidRPr="005F26F4">
        <w:rPr>
          <w:sz w:val="22"/>
          <w:szCs w:val="22"/>
          <w:lang w:val="en-US"/>
        </w:rPr>
        <w:t>period</w:t>
      </w:r>
      <w:proofErr w:type="gramEnd"/>
      <w:r w:rsidRPr="005F26F4">
        <w:rPr>
          <w:sz w:val="22"/>
          <w:szCs w:val="22"/>
          <w:lang w:val="en-US"/>
        </w:rPr>
        <w:t xml:space="preserve"> but it does not necessarily have to be completed during that period, nor implemented during the entire period. Tenderers are allowed to refer either to projects completed within the reference period (although started earlier) or to projects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project in a consortium, the percentage that the tenderer has successfully completed must be clear from the documentary evidence, together with a description of the nature of the services provided/supplies delivered. </w:t>
      </w:r>
    </w:p>
    <w:p w14:paraId="22FAB823" w14:textId="2FBF3994" w:rsidR="005A76EA" w:rsidRPr="005F26F4" w:rsidRDefault="005A76EA" w:rsidP="006F2042">
      <w:pPr>
        <w:spacing w:after="97" w:line="238" w:lineRule="auto"/>
        <w:ind w:left="720" w:right="84"/>
        <w:jc w:val="both"/>
        <w:rPr>
          <w:b/>
          <w:sz w:val="22"/>
          <w:szCs w:val="22"/>
          <w:lang w:val="en-US"/>
        </w:rPr>
      </w:pPr>
      <w:r w:rsidRPr="005F26F4">
        <w:rPr>
          <w:b/>
          <w:snapToGrid/>
          <w:color w:val="000000"/>
          <w:kern w:val="2"/>
          <w:sz w:val="22"/>
          <w:szCs w:val="22"/>
          <w:u w:val="single" w:color="000000"/>
          <w:lang w:val="en-US"/>
          <w14:ligatures w14:val="standardContextual"/>
        </w:rPr>
        <w:t>Documentary evidence of the financial and economic capacity, professional capacity and</w:t>
      </w:r>
      <w:r w:rsidRPr="005F26F4">
        <w:rPr>
          <w:b/>
          <w:snapToGrid/>
          <w:color w:val="000000"/>
          <w:kern w:val="2"/>
          <w:sz w:val="22"/>
          <w:szCs w:val="22"/>
          <w:lang w:val="en-US"/>
          <w14:ligatures w14:val="standardContextual"/>
        </w:rPr>
        <w:t xml:space="preserve"> </w:t>
      </w:r>
      <w:r w:rsidRPr="005F26F4">
        <w:rPr>
          <w:b/>
          <w:snapToGrid/>
          <w:color w:val="000000"/>
          <w:kern w:val="2"/>
          <w:sz w:val="22"/>
          <w:szCs w:val="22"/>
          <w:u w:val="single" w:color="000000"/>
          <w:lang w:val="en-US"/>
          <w14:ligatures w14:val="standardContextual"/>
        </w:rPr>
        <w:t>technical capacity shall only to be provided upon request. The contracting authority may</w:t>
      </w:r>
      <w:r w:rsidRPr="005F26F4">
        <w:rPr>
          <w:b/>
          <w:snapToGrid/>
          <w:color w:val="000000"/>
          <w:kern w:val="2"/>
          <w:sz w:val="22"/>
          <w:szCs w:val="22"/>
          <w:lang w:val="en-US"/>
          <w14:ligatures w14:val="standardContextual"/>
        </w:rPr>
        <w:t xml:space="preserve"> </w:t>
      </w:r>
      <w:r w:rsidRPr="005F26F4">
        <w:rPr>
          <w:b/>
          <w:snapToGrid/>
          <w:color w:val="000000"/>
          <w:kern w:val="2"/>
          <w:sz w:val="22"/>
          <w:szCs w:val="22"/>
          <w:u w:val="single" w:color="000000"/>
          <w:lang w:val="en-US"/>
          <w14:ligatures w14:val="standardContextual"/>
        </w:rPr>
        <w:t>request the documentary evidence at any time during the procurement procedure. When</w:t>
      </w:r>
      <w:r w:rsidRPr="005F26F4">
        <w:rPr>
          <w:b/>
          <w:snapToGrid/>
          <w:color w:val="000000"/>
          <w:kern w:val="2"/>
          <w:sz w:val="22"/>
          <w:szCs w:val="22"/>
          <w:lang w:val="en-US"/>
          <w14:ligatures w14:val="standardContextual"/>
        </w:rPr>
        <w:t xml:space="preserve"> </w:t>
      </w:r>
      <w:r w:rsidRPr="005F26F4">
        <w:rPr>
          <w:b/>
          <w:snapToGrid/>
          <w:color w:val="000000"/>
          <w:kern w:val="2"/>
          <w:sz w:val="22"/>
          <w:szCs w:val="22"/>
          <w:u w:val="single" w:color="000000"/>
          <w:lang w:val="en-US"/>
          <w14:ligatures w14:val="standardContextual"/>
        </w:rPr>
        <w:t>requested, the tenderer should provide the documentary evidence within a short deadline.</w:t>
      </w:r>
    </w:p>
    <w:p w14:paraId="779189B0" w14:textId="77777777" w:rsidR="00AA22A5" w:rsidRPr="005F26F4" w:rsidRDefault="00AA22A5" w:rsidP="005B6500">
      <w:pPr>
        <w:pStyle w:val="PRAGHeading2"/>
        <w:ind w:left="426" w:hanging="426"/>
        <w:rPr>
          <w:rStyle w:val="Strong"/>
          <w:sz w:val="22"/>
          <w:szCs w:val="22"/>
          <w:lang w:val="en-US"/>
        </w:rPr>
      </w:pPr>
      <w:r w:rsidRPr="005F26F4">
        <w:rPr>
          <w:rStyle w:val="Strong"/>
          <w:sz w:val="22"/>
          <w:szCs w:val="22"/>
          <w:lang w:val="en-US"/>
        </w:rPr>
        <w:t>Award criteria</w:t>
      </w:r>
    </w:p>
    <w:p w14:paraId="1A237235" w14:textId="194EC2D6" w:rsidR="00307C0F" w:rsidRPr="005F26F4" w:rsidRDefault="001F7E8F" w:rsidP="00D71A29">
      <w:pPr>
        <w:pStyle w:val="Blockquote"/>
        <w:spacing w:before="0" w:after="240"/>
        <w:ind w:left="796" w:right="0"/>
        <w:jc w:val="both"/>
        <w:rPr>
          <w:sz w:val="22"/>
          <w:szCs w:val="22"/>
          <w:lang w:val="en-US"/>
        </w:rPr>
      </w:pPr>
      <w:r w:rsidRPr="005F26F4">
        <w:rPr>
          <w:sz w:val="22"/>
          <w:szCs w:val="22"/>
          <w:lang w:val="en-US"/>
        </w:rPr>
        <w:t xml:space="preserve">Price (lowest price technically acceptable) </w:t>
      </w:r>
    </w:p>
    <w:p w14:paraId="04F91FF2" w14:textId="6FA0251A" w:rsidR="00EA0609" w:rsidRPr="005F26F4" w:rsidRDefault="00EA0609" w:rsidP="007B42F5">
      <w:pPr>
        <w:ind w:left="426" w:hanging="426"/>
        <w:rPr>
          <w:i/>
          <w:lang w:val="en-US"/>
        </w:rPr>
      </w:pPr>
    </w:p>
    <w:sectPr w:rsidR="00EA0609" w:rsidRPr="005F26F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AF9D" w14:textId="77777777" w:rsidR="006D0BD5" w:rsidRPr="00882896" w:rsidRDefault="006D0BD5" w:rsidP="000A4362">
      <w:pPr>
        <w:spacing w:before="0" w:after="0"/>
      </w:pPr>
      <w:r w:rsidRPr="00882896">
        <w:separator/>
      </w:r>
    </w:p>
  </w:endnote>
  <w:endnote w:type="continuationSeparator" w:id="0">
    <w:p w14:paraId="4B141AEF" w14:textId="77777777" w:rsidR="006D0BD5" w:rsidRPr="00882896" w:rsidRDefault="006D0BD5" w:rsidP="000A4362">
      <w:pPr>
        <w:spacing w:before="0" w:after="0"/>
      </w:pPr>
      <w:r w:rsidRPr="008828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1E8" w14:textId="777AAF14" w:rsidR="003335AD" w:rsidRPr="00882896" w:rsidRDefault="00252694" w:rsidP="00AC773A">
    <w:pPr>
      <w:pStyle w:val="Footer"/>
      <w:spacing w:before="120"/>
      <w:rPr>
        <w:b/>
        <w:sz w:val="18"/>
        <w:szCs w:val="18"/>
      </w:rPr>
    </w:pPr>
    <w:r w:rsidRPr="00882896">
      <w:rPr>
        <w:b/>
        <w:sz w:val="18"/>
        <w:szCs w:val="18"/>
      </w:rPr>
      <w:t>December</w:t>
    </w:r>
    <w:r w:rsidR="003335AD" w:rsidRPr="00882896">
      <w:rPr>
        <w:b/>
        <w:sz w:val="18"/>
        <w:szCs w:val="18"/>
      </w:rPr>
      <w:t xml:space="preserve"> 2021</w:t>
    </w:r>
  </w:p>
  <w:p w14:paraId="2545F9B3" w14:textId="614BAF78" w:rsidR="003335AD" w:rsidRPr="00882896" w:rsidRDefault="003335AD">
    <w:pPr>
      <w:pStyle w:val="Footer"/>
      <w:rPr>
        <w:sz w:val="18"/>
        <w:szCs w:val="18"/>
      </w:rPr>
    </w:pPr>
    <w:r w:rsidRPr="00882896">
      <w:rPr>
        <w:sz w:val="18"/>
        <w:szCs w:val="18"/>
      </w:rPr>
      <w:fldChar w:fldCharType="begin"/>
    </w:r>
    <w:r w:rsidRPr="00882896">
      <w:rPr>
        <w:sz w:val="18"/>
        <w:szCs w:val="18"/>
      </w:rPr>
      <w:instrText xml:space="preserve"> FILENAME   \* MERGEFORMAT </w:instrText>
    </w:r>
    <w:r w:rsidRPr="00882896">
      <w:rPr>
        <w:sz w:val="18"/>
        <w:szCs w:val="18"/>
      </w:rPr>
      <w:fldChar w:fldCharType="separate"/>
    </w:r>
    <w:r w:rsidRPr="00882896">
      <w:rPr>
        <w:sz w:val="18"/>
        <w:szCs w:val="18"/>
      </w:rPr>
      <w:t>a5f__additional_information_contract_notice_en</w:t>
    </w:r>
    <w:r w:rsidRPr="00882896">
      <w:rPr>
        <w:sz w:val="18"/>
        <w:szCs w:val="18"/>
      </w:rPr>
      <w:fldChar w:fldCharType="end"/>
    </w:r>
    <w:r w:rsidRPr="00882896">
      <w:rPr>
        <w:sz w:val="18"/>
        <w:szCs w:val="18"/>
      </w:rPr>
      <w:tab/>
    </w:r>
    <w:r w:rsidRPr="00882896">
      <w:rPr>
        <w:sz w:val="18"/>
        <w:szCs w:val="18"/>
      </w:rPr>
      <w:tab/>
      <w:t xml:space="preserve">Page </w:t>
    </w:r>
    <w:r w:rsidRPr="00882896">
      <w:rPr>
        <w:sz w:val="18"/>
        <w:szCs w:val="18"/>
      </w:rPr>
      <w:fldChar w:fldCharType="begin"/>
    </w:r>
    <w:r w:rsidRPr="00882896">
      <w:rPr>
        <w:sz w:val="18"/>
        <w:szCs w:val="18"/>
      </w:rPr>
      <w:instrText xml:space="preserve"> PAGE   \* MERGEFORMAT </w:instrText>
    </w:r>
    <w:r w:rsidRPr="00882896">
      <w:rPr>
        <w:sz w:val="18"/>
        <w:szCs w:val="18"/>
      </w:rPr>
      <w:fldChar w:fldCharType="separate"/>
    </w:r>
    <w:r w:rsidR="00DB36EF" w:rsidRPr="00882896">
      <w:rPr>
        <w:sz w:val="18"/>
        <w:szCs w:val="18"/>
      </w:rPr>
      <w:t>12</w:t>
    </w:r>
    <w:r w:rsidRPr="00882896">
      <w:rPr>
        <w:sz w:val="18"/>
        <w:szCs w:val="18"/>
      </w:rPr>
      <w:fldChar w:fldCharType="end"/>
    </w:r>
    <w:r w:rsidRPr="00882896">
      <w:rPr>
        <w:sz w:val="18"/>
        <w:szCs w:val="18"/>
      </w:rPr>
      <w:t xml:space="preserve"> of </w:t>
    </w:r>
    <w:r w:rsidRPr="00882896">
      <w:rPr>
        <w:sz w:val="18"/>
        <w:szCs w:val="18"/>
      </w:rPr>
      <w:fldChar w:fldCharType="begin"/>
    </w:r>
    <w:r w:rsidRPr="00882896">
      <w:rPr>
        <w:sz w:val="18"/>
        <w:szCs w:val="18"/>
      </w:rPr>
      <w:instrText xml:space="preserve"> NUMPAGES   \* MERGEFORMAT </w:instrText>
    </w:r>
    <w:r w:rsidRPr="00882896">
      <w:rPr>
        <w:sz w:val="18"/>
        <w:szCs w:val="18"/>
      </w:rPr>
      <w:fldChar w:fldCharType="separate"/>
    </w:r>
    <w:r w:rsidR="00DB36EF" w:rsidRPr="00882896">
      <w:rPr>
        <w:sz w:val="18"/>
        <w:szCs w:val="18"/>
      </w:rPr>
      <w:t>16</w:t>
    </w:r>
    <w:r w:rsidRPr="008828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D6AF" w14:textId="77777777" w:rsidR="006D0BD5" w:rsidRPr="00882896" w:rsidRDefault="006D0BD5" w:rsidP="000A4362">
      <w:pPr>
        <w:spacing w:before="0" w:after="0"/>
      </w:pPr>
      <w:r w:rsidRPr="00882896">
        <w:separator/>
      </w:r>
    </w:p>
  </w:footnote>
  <w:footnote w:type="continuationSeparator" w:id="0">
    <w:p w14:paraId="3F7D6D56" w14:textId="77777777" w:rsidR="006D0BD5" w:rsidRPr="00882896" w:rsidRDefault="006D0BD5" w:rsidP="000A4362">
      <w:pPr>
        <w:spacing w:before="0" w:after="0"/>
      </w:pPr>
      <w:r w:rsidRPr="00882896">
        <w:continuationSeparator/>
      </w:r>
    </w:p>
  </w:footnote>
  <w:footnote w:id="1">
    <w:p w14:paraId="5368D4B9" w14:textId="77777777" w:rsidR="000A6AD7" w:rsidRPr="00270552" w:rsidRDefault="000A6AD7" w:rsidP="000A6AD7">
      <w:pPr>
        <w:pStyle w:val="FootnoteText"/>
        <w:rPr>
          <w:lang w:val="fr-BE"/>
        </w:rPr>
      </w:pPr>
      <w:r w:rsidRPr="00270552">
        <w:rPr>
          <w:rStyle w:val="FootnoteReference"/>
        </w:rPr>
        <w:footnoteRef/>
      </w:r>
      <w:r w:rsidRPr="00270552">
        <w:rPr>
          <w:lang w:val="fr-BE"/>
        </w:rPr>
        <w:t xml:space="preserve"> </w:t>
      </w:r>
      <w:hyperlink r:id="rId1" w:history="1">
        <w:r w:rsidRPr="00270552">
          <w:rPr>
            <w:rStyle w:val="Hyperlink"/>
            <w:lang w:val="fr-BE"/>
          </w:rPr>
          <w:t>EUR-Lex - 02014R0833-20241217 - EN - EUR-Lex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A70A47"/>
    <w:multiLevelType w:val="singleLevel"/>
    <w:tmpl w:val="04090001"/>
    <w:lvl w:ilvl="0">
      <w:start w:val="1"/>
      <w:numFmt w:val="bullet"/>
      <w:lvlText w:val=""/>
      <w:lvlJc w:val="left"/>
      <w:pPr>
        <w:tabs>
          <w:tab w:val="num" w:pos="1068"/>
        </w:tabs>
        <w:ind w:left="1068" w:hanging="360"/>
      </w:pPr>
      <w:rPr>
        <w:rFonts w:ascii="Symbol" w:hAnsi="Symbol" w:hint="default"/>
      </w:rPr>
    </w:lvl>
  </w:abstractNum>
  <w:abstractNum w:abstractNumId="6" w15:restartNumberingAfterBreak="0">
    <w:nsid w:val="0F154A61"/>
    <w:multiLevelType w:val="hybridMultilevel"/>
    <w:tmpl w:val="411AE28A"/>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7"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E320D"/>
    <w:multiLevelType w:val="hybridMultilevel"/>
    <w:tmpl w:val="462C8AD6"/>
    <w:lvl w:ilvl="0" w:tplc="EEA6F4CC">
      <w:start w:val="1"/>
      <w:numFmt w:val="decimal"/>
      <w:lvlText w:val="%1)"/>
      <w:lvlJc w:val="left"/>
      <w:pPr>
        <w:ind w:left="796"/>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tplc="93D6E92C">
      <w:start w:val="1"/>
      <w:numFmt w:val="bullet"/>
      <w:lvlText w:val="•"/>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5AFF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2872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CA98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A1A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C049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A65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A698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D30DE2"/>
    <w:multiLevelType w:val="hybridMultilevel"/>
    <w:tmpl w:val="7304EBF2"/>
    <w:lvl w:ilvl="0" w:tplc="B2469D4E">
      <w:start w:val="1"/>
      <w:numFmt w:val="decimal"/>
      <w:lvlText w:val="%1)"/>
      <w:lvlJc w:val="left"/>
      <w:pPr>
        <w:ind w:left="840" w:hanging="360"/>
      </w:pPr>
      <w:rPr>
        <w:rFonts w:hint="default"/>
        <w:b/>
        <w:u w:val="single"/>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3"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6440846"/>
    <w:multiLevelType w:val="hybridMultilevel"/>
    <w:tmpl w:val="A23682F2"/>
    <w:lvl w:ilvl="0" w:tplc="EF7ADCA0">
      <w:start w:val="2"/>
      <w:numFmt w:val="decimal"/>
      <w:lvlText w:val="%1"/>
      <w:lvlJc w:val="left"/>
      <w:pPr>
        <w:ind w:left="1156" w:hanging="360"/>
      </w:pPr>
      <w:rPr>
        <w:rFonts w:hint="default"/>
        <w:b/>
        <w:u w:val="single"/>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5"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87B09"/>
    <w:multiLevelType w:val="multilevel"/>
    <w:tmpl w:val="C5F26840"/>
    <w:lvl w:ilvl="0">
      <w:start w:val="1"/>
      <w:numFmt w:val="decimal"/>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A90924"/>
    <w:multiLevelType w:val="hybridMultilevel"/>
    <w:tmpl w:val="01FC5AB8"/>
    <w:lvl w:ilvl="0" w:tplc="04220001">
      <w:start w:val="1"/>
      <w:numFmt w:val="bullet"/>
      <w:lvlText w:val=""/>
      <w:lvlJc w:val="left"/>
      <w:pPr>
        <w:ind w:left="1477" w:hanging="360"/>
      </w:pPr>
      <w:rPr>
        <w:rFonts w:ascii="Symbol" w:hAnsi="Symbol" w:hint="default"/>
      </w:rPr>
    </w:lvl>
    <w:lvl w:ilvl="1" w:tplc="04220003" w:tentative="1">
      <w:start w:val="1"/>
      <w:numFmt w:val="bullet"/>
      <w:lvlText w:val="o"/>
      <w:lvlJc w:val="left"/>
      <w:pPr>
        <w:ind w:left="2197" w:hanging="360"/>
      </w:pPr>
      <w:rPr>
        <w:rFonts w:ascii="Courier New" w:hAnsi="Courier New" w:cs="Courier New" w:hint="default"/>
      </w:rPr>
    </w:lvl>
    <w:lvl w:ilvl="2" w:tplc="04220005" w:tentative="1">
      <w:start w:val="1"/>
      <w:numFmt w:val="bullet"/>
      <w:lvlText w:val=""/>
      <w:lvlJc w:val="left"/>
      <w:pPr>
        <w:ind w:left="2917" w:hanging="360"/>
      </w:pPr>
      <w:rPr>
        <w:rFonts w:ascii="Wingdings" w:hAnsi="Wingdings" w:hint="default"/>
      </w:rPr>
    </w:lvl>
    <w:lvl w:ilvl="3" w:tplc="04220001" w:tentative="1">
      <w:start w:val="1"/>
      <w:numFmt w:val="bullet"/>
      <w:lvlText w:val=""/>
      <w:lvlJc w:val="left"/>
      <w:pPr>
        <w:ind w:left="3637" w:hanging="360"/>
      </w:pPr>
      <w:rPr>
        <w:rFonts w:ascii="Symbol" w:hAnsi="Symbol" w:hint="default"/>
      </w:rPr>
    </w:lvl>
    <w:lvl w:ilvl="4" w:tplc="04220003" w:tentative="1">
      <w:start w:val="1"/>
      <w:numFmt w:val="bullet"/>
      <w:lvlText w:val="o"/>
      <w:lvlJc w:val="left"/>
      <w:pPr>
        <w:ind w:left="4357" w:hanging="360"/>
      </w:pPr>
      <w:rPr>
        <w:rFonts w:ascii="Courier New" w:hAnsi="Courier New" w:cs="Courier New" w:hint="default"/>
      </w:rPr>
    </w:lvl>
    <w:lvl w:ilvl="5" w:tplc="04220005" w:tentative="1">
      <w:start w:val="1"/>
      <w:numFmt w:val="bullet"/>
      <w:lvlText w:val=""/>
      <w:lvlJc w:val="left"/>
      <w:pPr>
        <w:ind w:left="5077" w:hanging="360"/>
      </w:pPr>
      <w:rPr>
        <w:rFonts w:ascii="Wingdings" w:hAnsi="Wingdings" w:hint="default"/>
      </w:rPr>
    </w:lvl>
    <w:lvl w:ilvl="6" w:tplc="04220001" w:tentative="1">
      <w:start w:val="1"/>
      <w:numFmt w:val="bullet"/>
      <w:lvlText w:val=""/>
      <w:lvlJc w:val="left"/>
      <w:pPr>
        <w:ind w:left="5797" w:hanging="360"/>
      </w:pPr>
      <w:rPr>
        <w:rFonts w:ascii="Symbol" w:hAnsi="Symbol" w:hint="default"/>
      </w:rPr>
    </w:lvl>
    <w:lvl w:ilvl="7" w:tplc="04220003" w:tentative="1">
      <w:start w:val="1"/>
      <w:numFmt w:val="bullet"/>
      <w:lvlText w:val="o"/>
      <w:lvlJc w:val="left"/>
      <w:pPr>
        <w:ind w:left="6517" w:hanging="360"/>
      </w:pPr>
      <w:rPr>
        <w:rFonts w:ascii="Courier New" w:hAnsi="Courier New" w:cs="Courier New" w:hint="default"/>
      </w:rPr>
    </w:lvl>
    <w:lvl w:ilvl="8" w:tplc="04220005" w:tentative="1">
      <w:start w:val="1"/>
      <w:numFmt w:val="bullet"/>
      <w:lvlText w:val=""/>
      <w:lvlJc w:val="left"/>
      <w:pPr>
        <w:ind w:left="7237" w:hanging="360"/>
      </w:pPr>
      <w:rPr>
        <w:rFonts w:ascii="Wingdings" w:hAnsi="Wingdings" w:hint="default"/>
      </w:rPr>
    </w:lvl>
  </w:abstractNum>
  <w:abstractNum w:abstractNumId="22"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530127F"/>
    <w:multiLevelType w:val="hybridMultilevel"/>
    <w:tmpl w:val="FFFFFFFF"/>
    <w:lvl w:ilvl="0" w:tplc="08090001">
      <w:start w:val="1"/>
      <w:numFmt w:val="bullet"/>
      <w:lvlText w:val=""/>
      <w:lvlJc w:val="left"/>
      <w:pPr>
        <w:ind w:left="1570" w:hanging="360"/>
      </w:pPr>
      <w:rPr>
        <w:rFonts w:ascii="Symbol" w:hAnsi="Symbol" w:hint="default"/>
      </w:rPr>
    </w:lvl>
    <w:lvl w:ilvl="1" w:tplc="08090003">
      <w:start w:val="1"/>
      <w:numFmt w:val="bullet"/>
      <w:lvlText w:val="o"/>
      <w:lvlJc w:val="left"/>
      <w:pPr>
        <w:ind w:left="2290" w:hanging="360"/>
      </w:pPr>
      <w:rPr>
        <w:rFonts w:ascii="Courier New" w:hAnsi="Courier New" w:cs="Times New Roman"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Times New Roman"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Times New Roman" w:hint="default"/>
      </w:rPr>
    </w:lvl>
    <w:lvl w:ilvl="8" w:tplc="08090005">
      <w:start w:val="1"/>
      <w:numFmt w:val="bullet"/>
      <w:lvlText w:val=""/>
      <w:lvlJc w:val="left"/>
      <w:pPr>
        <w:ind w:left="7330" w:hanging="360"/>
      </w:pPr>
      <w:rPr>
        <w:rFonts w:ascii="Wingdings" w:hAnsi="Wingdings" w:hint="default"/>
      </w:rPr>
    </w:lvl>
  </w:abstractNum>
  <w:num w:numId="1" w16cid:durableId="1339231437">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2122022531">
    <w:abstractNumId w:val="17"/>
  </w:num>
  <w:num w:numId="3" w16cid:durableId="1774281409">
    <w:abstractNumId w:val="5"/>
  </w:num>
  <w:num w:numId="4" w16cid:durableId="389236546">
    <w:abstractNumId w:val="15"/>
  </w:num>
  <w:num w:numId="5" w16cid:durableId="802193295">
    <w:abstractNumId w:val="12"/>
  </w:num>
  <w:num w:numId="6" w16cid:durableId="329254652">
    <w:abstractNumId w:val="22"/>
  </w:num>
  <w:num w:numId="7" w16cid:durableId="421991912">
    <w:abstractNumId w:val="4"/>
  </w:num>
  <w:num w:numId="8" w16cid:durableId="264575412">
    <w:abstractNumId w:val="7"/>
  </w:num>
  <w:num w:numId="9" w16cid:durableId="1666324614">
    <w:abstractNumId w:val="23"/>
  </w:num>
  <w:num w:numId="10" w16cid:durableId="320044469">
    <w:abstractNumId w:val="20"/>
  </w:num>
  <w:num w:numId="11" w16cid:durableId="956331810">
    <w:abstractNumId w:val="13"/>
  </w:num>
  <w:num w:numId="12" w16cid:durableId="1311057892">
    <w:abstractNumId w:val="4"/>
  </w:num>
  <w:num w:numId="13" w16cid:durableId="714039239">
    <w:abstractNumId w:val="24"/>
  </w:num>
  <w:num w:numId="14" w16cid:durableId="688724431">
    <w:abstractNumId w:val="4"/>
    <w:lvlOverride w:ilvl="0">
      <w:startOverride w:val="1"/>
    </w:lvlOverride>
  </w:num>
  <w:num w:numId="15" w16cid:durableId="185187018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102452832">
    <w:abstractNumId w:val="11"/>
  </w:num>
  <w:num w:numId="17" w16cid:durableId="392588303">
    <w:abstractNumId w:val="8"/>
  </w:num>
  <w:num w:numId="18" w16cid:durableId="2114548623">
    <w:abstractNumId w:val="19"/>
  </w:num>
  <w:num w:numId="19" w16cid:durableId="191043767">
    <w:abstractNumId w:val="3"/>
  </w:num>
  <w:num w:numId="20" w16cid:durableId="6016506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388963332">
    <w:abstractNumId w:val="18"/>
  </w:num>
  <w:num w:numId="22" w16cid:durableId="1758288278">
    <w:abstractNumId w:val="10"/>
  </w:num>
  <w:num w:numId="23" w16cid:durableId="1916743824">
    <w:abstractNumId w:val="9"/>
  </w:num>
  <w:num w:numId="24" w16cid:durableId="37895948">
    <w:abstractNumId w:val="14"/>
  </w:num>
  <w:num w:numId="25" w16cid:durableId="130750111">
    <w:abstractNumId w:val="6"/>
  </w:num>
  <w:num w:numId="26" w16cid:durableId="552815874">
    <w:abstractNumId w:val="4"/>
  </w:num>
  <w:num w:numId="27" w16cid:durableId="1980376922">
    <w:abstractNumId w:val="21"/>
  </w:num>
  <w:num w:numId="28" w16cid:durableId="1660310051">
    <w:abstractNumId w:val="4"/>
  </w:num>
  <w:num w:numId="29" w16cid:durableId="1712731022">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16cid:durableId="136728737">
    <w:abstractNumId w:val="4"/>
  </w:num>
  <w:num w:numId="31" w16cid:durableId="614557507">
    <w:abstractNumId w:val="4"/>
  </w:num>
  <w:num w:numId="32" w16cid:durableId="534779584">
    <w:abstractNumId w:val="4"/>
  </w:num>
  <w:num w:numId="33" w16cid:durableId="1876960123">
    <w:abstractNumId w:val="4"/>
  </w:num>
  <w:num w:numId="34" w16cid:durableId="1846238503">
    <w:abstractNumId w:val="16"/>
  </w:num>
  <w:num w:numId="35" w16cid:durableId="154957458">
    <w:abstractNumId w:val="25"/>
  </w:num>
  <w:num w:numId="36" w16cid:durableId="1312518316">
    <w:abstractNumId w:val="4"/>
  </w:num>
  <w:num w:numId="37" w16cid:durableId="719474567">
    <w:abstractNumId w:val="4"/>
  </w:num>
  <w:num w:numId="38" w16cid:durableId="195772153">
    <w:abstractNumId w:val="4"/>
  </w:num>
  <w:num w:numId="39" w16cid:durableId="82072273">
    <w:abstractNumId w:val="4"/>
  </w:num>
  <w:num w:numId="40" w16cid:durableId="940337582">
    <w:abstractNumId w:val="4"/>
  </w:num>
  <w:num w:numId="41" w16cid:durableId="663822291">
    <w:abstractNumId w:val="4"/>
  </w:num>
  <w:num w:numId="42" w16cid:durableId="90233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A6C7C"/>
    <w:rsid w:val="00000631"/>
    <w:rsid w:val="00001895"/>
    <w:rsid w:val="000023D1"/>
    <w:rsid w:val="00003CF3"/>
    <w:rsid w:val="00004AC5"/>
    <w:rsid w:val="00005B35"/>
    <w:rsid w:val="00005D6E"/>
    <w:rsid w:val="00011A91"/>
    <w:rsid w:val="00017B82"/>
    <w:rsid w:val="00020C7C"/>
    <w:rsid w:val="00023A65"/>
    <w:rsid w:val="00024F89"/>
    <w:rsid w:val="000256E9"/>
    <w:rsid w:val="000275AF"/>
    <w:rsid w:val="00041C50"/>
    <w:rsid w:val="00047450"/>
    <w:rsid w:val="00047F49"/>
    <w:rsid w:val="000507A8"/>
    <w:rsid w:val="00051841"/>
    <w:rsid w:val="00052A32"/>
    <w:rsid w:val="000556D1"/>
    <w:rsid w:val="000557AC"/>
    <w:rsid w:val="00056B1E"/>
    <w:rsid w:val="00057B45"/>
    <w:rsid w:val="0006275F"/>
    <w:rsid w:val="000657F4"/>
    <w:rsid w:val="000675D4"/>
    <w:rsid w:val="00070625"/>
    <w:rsid w:val="00075D67"/>
    <w:rsid w:val="00080381"/>
    <w:rsid w:val="00082B07"/>
    <w:rsid w:val="00087791"/>
    <w:rsid w:val="00090EB3"/>
    <w:rsid w:val="00093F3D"/>
    <w:rsid w:val="00095FD2"/>
    <w:rsid w:val="000974B6"/>
    <w:rsid w:val="000977C7"/>
    <w:rsid w:val="0009798E"/>
    <w:rsid w:val="00097F71"/>
    <w:rsid w:val="000A05A4"/>
    <w:rsid w:val="000A2341"/>
    <w:rsid w:val="000A3A2E"/>
    <w:rsid w:val="000A4362"/>
    <w:rsid w:val="000A6AD7"/>
    <w:rsid w:val="000B0DB7"/>
    <w:rsid w:val="000C38BA"/>
    <w:rsid w:val="000C49BB"/>
    <w:rsid w:val="000C71C6"/>
    <w:rsid w:val="000C76EB"/>
    <w:rsid w:val="000D0918"/>
    <w:rsid w:val="000D3AA5"/>
    <w:rsid w:val="000D53E3"/>
    <w:rsid w:val="000D6658"/>
    <w:rsid w:val="000D70CB"/>
    <w:rsid w:val="000E2749"/>
    <w:rsid w:val="000E32AA"/>
    <w:rsid w:val="000F254D"/>
    <w:rsid w:val="000F3E10"/>
    <w:rsid w:val="00100AF9"/>
    <w:rsid w:val="00101991"/>
    <w:rsid w:val="00101F2E"/>
    <w:rsid w:val="00102017"/>
    <w:rsid w:val="00102D0D"/>
    <w:rsid w:val="00103538"/>
    <w:rsid w:val="0010374C"/>
    <w:rsid w:val="00104CCC"/>
    <w:rsid w:val="00106F55"/>
    <w:rsid w:val="00107676"/>
    <w:rsid w:val="00111B68"/>
    <w:rsid w:val="001128CC"/>
    <w:rsid w:val="001142A4"/>
    <w:rsid w:val="00114E7D"/>
    <w:rsid w:val="00116ED7"/>
    <w:rsid w:val="00131AA4"/>
    <w:rsid w:val="00132014"/>
    <w:rsid w:val="0013352A"/>
    <w:rsid w:val="0013411D"/>
    <w:rsid w:val="00134B94"/>
    <w:rsid w:val="00135C9F"/>
    <w:rsid w:val="00136A83"/>
    <w:rsid w:val="001406E8"/>
    <w:rsid w:val="00142BAD"/>
    <w:rsid w:val="00146A13"/>
    <w:rsid w:val="00147087"/>
    <w:rsid w:val="001471CB"/>
    <w:rsid w:val="00156378"/>
    <w:rsid w:val="001567F0"/>
    <w:rsid w:val="00157612"/>
    <w:rsid w:val="001615EF"/>
    <w:rsid w:val="00163B0D"/>
    <w:rsid w:val="001664AB"/>
    <w:rsid w:val="00170460"/>
    <w:rsid w:val="001711FD"/>
    <w:rsid w:val="001730A8"/>
    <w:rsid w:val="00177233"/>
    <w:rsid w:val="00181FE9"/>
    <w:rsid w:val="00186E8B"/>
    <w:rsid w:val="001916FC"/>
    <w:rsid w:val="001929B2"/>
    <w:rsid w:val="00192F46"/>
    <w:rsid w:val="00195EB7"/>
    <w:rsid w:val="001A7F8B"/>
    <w:rsid w:val="001B047D"/>
    <w:rsid w:val="001B078F"/>
    <w:rsid w:val="001B1D0C"/>
    <w:rsid w:val="001B36F0"/>
    <w:rsid w:val="001B3800"/>
    <w:rsid w:val="001B5F74"/>
    <w:rsid w:val="001D32E1"/>
    <w:rsid w:val="001D39A5"/>
    <w:rsid w:val="001D48A3"/>
    <w:rsid w:val="001D5AEF"/>
    <w:rsid w:val="001E04EA"/>
    <w:rsid w:val="001E13D9"/>
    <w:rsid w:val="001E29CD"/>
    <w:rsid w:val="001E6AD9"/>
    <w:rsid w:val="001F09DF"/>
    <w:rsid w:val="001F2CD5"/>
    <w:rsid w:val="001F7E8F"/>
    <w:rsid w:val="00202A86"/>
    <w:rsid w:val="00204ACF"/>
    <w:rsid w:val="002108FA"/>
    <w:rsid w:val="00213134"/>
    <w:rsid w:val="002142D5"/>
    <w:rsid w:val="0021495F"/>
    <w:rsid w:val="00214B40"/>
    <w:rsid w:val="00216B6B"/>
    <w:rsid w:val="00221024"/>
    <w:rsid w:val="00221638"/>
    <w:rsid w:val="00224418"/>
    <w:rsid w:val="00226067"/>
    <w:rsid w:val="00231FEE"/>
    <w:rsid w:val="0023463C"/>
    <w:rsid w:val="00234F17"/>
    <w:rsid w:val="00242F6D"/>
    <w:rsid w:val="00243858"/>
    <w:rsid w:val="00245FEC"/>
    <w:rsid w:val="00246FE9"/>
    <w:rsid w:val="00250977"/>
    <w:rsid w:val="002512D9"/>
    <w:rsid w:val="00252694"/>
    <w:rsid w:val="00254A40"/>
    <w:rsid w:val="0025663C"/>
    <w:rsid w:val="00256ABC"/>
    <w:rsid w:val="0025703B"/>
    <w:rsid w:val="00260597"/>
    <w:rsid w:val="00260CBF"/>
    <w:rsid w:val="002674CB"/>
    <w:rsid w:val="00273404"/>
    <w:rsid w:val="00276000"/>
    <w:rsid w:val="0027655D"/>
    <w:rsid w:val="0027680E"/>
    <w:rsid w:val="00276FFE"/>
    <w:rsid w:val="0027737F"/>
    <w:rsid w:val="002863EE"/>
    <w:rsid w:val="0028659D"/>
    <w:rsid w:val="002869A4"/>
    <w:rsid w:val="002923CB"/>
    <w:rsid w:val="00296721"/>
    <w:rsid w:val="00297DA2"/>
    <w:rsid w:val="002A54FD"/>
    <w:rsid w:val="002A7311"/>
    <w:rsid w:val="002C5850"/>
    <w:rsid w:val="002C6523"/>
    <w:rsid w:val="002C7CF4"/>
    <w:rsid w:val="002D1177"/>
    <w:rsid w:val="002D2AE8"/>
    <w:rsid w:val="002D2EAB"/>
    <w:rsid w:val="002D365E"/>
    <w:rsid w:val="002D3C7A"/>
    <w:rsid w:val="002D4A6E"/>
    <w:rsid w:val="002D6A62"/>
    <w:rsid w:val="002D7039"/>
    <w:rsid w:val="002E2264"/>
    <w:rsid w:val="002E7C9B"/>
    <w:rsid w:val="002F1DF5"/>
    <w:rsid w:val="002F7735"/>
    <w:rsid w:val="00302A1B"/>
    <w:rsid w:val="00306A97"/>
    <w:rsid w:val="003074DF"/>
    <w:rsid w:val="003076CD"/>
    <w:rsid w:val="00307C0F"/>
    <w:rsid w:val="00310C46"/>
    <w:rsid w:val="00312005"/>
    <w:rsid w:val="00315CF6"/>
    <w:rsid w:val="00315F99"/>
    <w:rsid w:val="003178D2"/>
    <w:rsid w:val="00322A8F"/>
    <w:rsid w:val="00323065"/>
    <w:rsid w:val="00325D82"/>
    <w:rsid w:val="00325FDE"/>
    <w:rsid w:val="00327723"/>
    <w:rsid w:val="0033016F"/>
    <w:rsid w:val="00330C3A"/>
    <w:rsid w:val="00331CF9"/>
    <w:rsid w:val="003326C1"/>
    <w:rsid w:val="00332DEA"/>
    <w:rsid w:val="003335AD"/>
    <w:rsid w:val="003356E3"/>
    <w:rsid w:val="00337E2A"/>
    <w:rsid w:val="003432FD"/>
    <w:rsid w:val="00343DB0"/>
    <w:rsid w:val="003447D9"/>
    <w:rsid w:val="003474FC"/>
    <w:rsid w:val="00347AAF"/>
    <w:rsid w:val="00347C8B"/>
    <w:rsid w:val="0035410B"/>
    <w:rsid w:val="003548CE"/>
    <w:rsid w:val="00355942"/>
    <w:rsid w:val="00355AF2"/>
    <w:rsid w:val="0035737A"/>
    <w:rsid w:val="003575EC"/>
    <w:rsid w:val="00360E0A"/>
    <w:rsid w:val="00361BF6"/>
    <w:rsid w:val="003628A1"/>
    <w:rsid w:val="00364FF7"/>
    <w:rsid w:val="00372DFC"/>
    <w:rsid w:val="00373871"/>
    <w:rsid w:val="00373976"/>
    <w:rsid w:val="003759BB"/>
    <w:rsid w:val="00383B48"/>
    <w:rsid w:val="00385B48"/>
    <w:rsid w:val="003907E7"/>
    <w:rsid w:val="003916E7"/>
    <w:rsid w:val="00393CB9"/>
    <w:rsid w:val="00397E27"/>
    <w:rsid w:val="003A523F"/>
    <w:rsid w:val="003A59F6"/>
    <w:rsid w:val="003A67FF"/>
    <w:rsid w:val="003A6CA2"/>
    <w:rsid w:val="003B1624"/>
    <w:rsid w:val="003B20C4"/>
    <w:rsid w:val="003B2BB4"/>
    <w:rsid w:val="003B2C50"/>
    <w:rsid w:val="003C13F2"/>
    <w:rsid w:val="003C15AF"/>
    <w:rsid w:val="003C215D"/>
    <w:rsid w:val="003C3FE0"/>
    <w:rsid w:val="003C497A"/>
    <w:rsid w:val="003D0B39"/>
    <w:rsid w:val="003D2CB4"/>
    <w:rsid w:val="003D6268"/>
    <w:rsid w:val="003E0003"/>
    <w:rsid w:val="003E1EEB"/>
    <w:rsid w:val="003E232F"/>
    <w:rsid w:val="003E38E9"/>
    <w:rsid w:val="003F6638"/>
    <w:rsid w:val="003F71B1"/>
    <w:rsid w:val="003F797F"/>
    <w:rsid w:val="00400D80"/>
    <w:rsid w:val="00401FE1"/>
    <w:rsid w:val="00403EB4"/>
    <w:rsid w:val="00404FF6"/>
    <w:rsid w:val="00407BCB"/>
    <w:rsid w:val="00407C04"/>
    <w:rsid w:val="004120D9"/>
    <w:rsid w:val="004145AF"/>
    <w:rsid w:val="004148AA"/>
    <w:rsid w:val="00423B5E"/>
    <w:rsid w:val="00424B2F"/>
    <w:rsid w:val="00425E7D"/>
    <w:rsid w:val="00425F0D"/>
    <w:rsid w:val="00427637"/>
    <w:rsid w:val="004303BE"/>
    <w:rsid w:val="004336EC"/>
    <w:rsid w:val="004338DF"/>
    <w:rsid w:val="00436A64"/>
    <w:rsid w:val="004371AF"/>
    <w:rsid w:val="00440AC2"/>
    <w:rsid w:val="00442755"/>
    <w:rsid w:val="00445455"/>
    <w:rsid w:val="00445A6E"/>
    <w:rsid w:val="00446B34"/>
    <w:rsid w:val="00453B5B"/>
    <w:rsid w:val="00453E14"/>
    <w:rsid w:val="00455656"/>
    <w:rsid w:val="00457E30"/>
    <w:rsid w:val="00460356"/>
    <w:rsid w:val="00461079"/>
    <w:rsid w:val="004613B7"/>
    <w:rsid w:val="00462138"/>
    <w:rsid w:val="00465A93"/>
    <w:rsid w:val="00470A9D"/>
    <w:rsid w:val="00472E24"/>
    <w:rsid w:val="00473B36"/>
    <w:rsid w:val="004759A5"/>
    <w:rsid w:val="0047715B"/>
    <w:rsid w:val="0048352B"/>
    <w:rsid w:val="00491AFD"/>
    <w:rsid w:val="004A1738"/>
    <w:rsid w:val="004A3638"/>
    <w:rsid w:val="004A62F5"/>
    <w:rsid w:val="004B1081"/>
    <w:rsid w:val="004B26C1"/>
    <w:rsid w:val="004B50A7"/>
    <w:rsid w:val="004C05B2"/>
    <w:rsid w:val="004C2082"/>
    <w:rsid w:val="004C39EE"/>
    <w:rsid w:val="004D5345"/>
    <w:rsid w:val="004E01EB"/>
    <w:rsid w:val="004E1551"/>
    <w:rsid w:val="004E1930"/>
    <w:rsid w:val="004E4705"/>
    <w:rsid w:val="004E4D07"/>
    <w:rsid w:val="004F27F5"/>
    <w:rsid w:val="004F48AA"/>
    <w:rsid w:val="004F7108"/>
    <w:rsid w:val="00505353"/>
    <w:rsid w:val="00505A00"/>
    <w:rsid w:val="0051025F"/>
    <w:rsid w:val="005220DC"/>
    <w:rsid w:val="00522C0C"/>
    <w:rsid w:val="00525840"/>
    <w:rsid w:val="0053228F"/>
    <w:rsid w:val="005365BF"/>
    <w:rsid w:val="005407B9"/>
    <w:rsid w:val="00547FDA"/>
    <w:rsid w:val="005526AA"/>
    <w:rsid w:val="005534B9"/>
    <w:rsid w:val="00556E61"/>
    <w:rsid w:val="00564495"/>
    <w:rsid w:val="005663CA"/>
    <w:rsid w:val="00566485"/>
    <w:rsid w:val="00567635"/>
    <w:rsid w:val="00567D11"/>
    <w:rsid w:val="00571A51"/>
    <w:rsid w:val="00574013"/>
    <w:rsid w:val="0057553C"/>
    <w:rsid w:val="00580EED"/>
    <w:rsid w:val="0058609B"/>
    <w:rsid w:val="00590680"/>
    <w:rsid w:val="005A0732"/>
    <w:rsid w:val="005A0A93"/>
    <w:rsid w:val="005A6338"/>
    <w:rsid w:val="005A76EA"/>
    <w:rsid w:val="005B06A6"/>
    <w:rsid w:val="005B2C9B"/>
    <w:rsid w:val="005B412A"/>
    <w:rsid w:val="005B6385"/>
    <w:rsid w:val="005B6500"/>
    <w:rsid w:val="005B674F"/>
    <w:rsid w:val="005C4AFB"/>
    <w:rsid w:val="005C6884"/>
    <w:rsid w:val="005D0163"/>
    <w:rsid w:val="005D4C9B"/>
    <w:rsid w:val="005D6528"/>
    <w:rsid w:val="005E38DC"/>
    <w:rsid w:val="005E493C"/>
    <w:rsid w:val="005F26F4"/>
    <w:rsid w:val="005F443E"/>
    <w:rsid w:val="005F7D7F"/>
    <w:rsid w:val="00601309"/>
    <w:rsid w:val="00617939"/>
    <w:rsid w:val="00622276"/>
    <w:rsid w:val="00626EC5"/>
    <w:rsid w:val="00627D6B"/>
    <w:rsid w:val="00627E02"/>
    <w:rsid w:val="00634346"/>
    <w:rsid w:val="00637BBF"/>
    <w:rsid w:val="00637C7E"/>
    <w:rsid w:val="00640348"/>
    <w:rsid w:val="006411A0"/>
    <w:rsid w:val="006415E3"/>
    <w:rsid w:val="0064266F"/>
    <w:rsid w:val="00643F9A"/>
    <w:rsid w:val="00644FE3"/>
    <w:rsid w:val="00646037"/>
    <w:rsid w:val="00650A28"/>
    <w:rsid w:val="006546D7"/>
    <w:rsid w:val="00656879"/>
    <w:rsid w:val="0066358D"/>
    <w:rsid w:val="00672F39"/>
    <w:rsid w:val="00673BCE"/>
    <w:rsid w:val="006740A6"/>
    <w:rsid w:val="0067459C"/>
    <w:rsid w:val="00677461"/>
    <w:rsid w:val="00677B82"/>
    <w:rsid w:val="00682CC0"/>
    <w:rsid w:val="006833DA"/>
    <w:rsid w:val="00686414"/>
    <w:rsid w:val="00687C97"/>
    <w:rsid w:val="00694888"/>
    <w:rsid w:val="0069726E"/>
    <w:rsid w:val="006A0BB1"/>
    <w:rsid w:val="006A1D7C"/>
    <w:rsid w:val="006A32FA"/>
    <w:rsid w:val="006A6D08"/>
    <w:rsid w:val="006B08DC"/>
    <w:rsid w:val="006B4990"/>
    <w:rsid w:val="006B6683"/>
    <w:rsid w:val="006C2E49"/>
    <w:rsid w:val="006C646F"/>
    <w:rsid w:val="006D0BD5"/>
    <w:rsid w:val="006D316A"/>
    <w:rsid w:val="006D4DAC"/>
    <w:rsid w:val="006D4EFB"/>
    <w:rsid w:val="006E329A"/>
    <w:rsid w:val="006E3521"/>
    <w:rsid w:val="006F2042"/>
    <w:rsid w:val="006F2C5A"/>
    <w:rsid w:val="006F3C83"/>
    <w:rsid w:val="006F71B5"/>
    <w:rsid w:val="0070362F"/>
    <w:rsid w:val="007042F2"/>
    <w:rsid w:val="0070573D"/>
    <w:rsid w:val="007116B8"/>
    <w:rsid w:val="00714D39"/>
    <w:rsid w:val="00714D89"/>
    <w:rsid w:val="00717C98"/>
    <w:rsid w:val="00721BFB"/>
    <w:rsid w:val="00725716"/>
    <w:rsid w:val="00726596"/>
    <w:rsid w:val="00727C2D"/>
    <w:rsid w:val="00730EA7"/>
    <w:rsid w:val="00734323"/>
    <w:rsid w:val="00735123"/>
    <w:rsid w:val="00737453"/>
    <w:rsid w:val="007413BF"/>
    <w:rsid w:val="00741783"/>
    <w:rsid w:val="00743351"/>
    <w:rsid w:val="00744127"/>
    <w:rsid w:val="00744F88"/>
    <w:rsid w:val="007456DD"/>
    <w:rsid w:val="0074581A"/>
    <w:rsid w:val="007459BB"/>
    <w:rsid w:val="007508E8"/>
    <w:rsid w:val="00755178"/>
    <w:rsid w:val="00757383"/>
    <w:rsid w:val="00757D90"/>
    <w:rsid w:val="00763BB6"/>
    <w:rsid w:val="00765594"/>
    <w:rsid w:val="00767FFB"/>
    <w:rsid w:val="00774BAA"/>
    <w:rsid w:val="0077575D"/>
    <w:rsid w:val="00780332"/>
    <w:rsid w:val="00785755"/>
    <w:rsid w:val="00787B85"/>
    <w:rsid w:val="00790218"/>
    <w:rsid w:val="00790B2B"/>
    <w:rsid w:val="00793EEB"/>
    <w:rsid w:val="00796AC9"/>
    <w:rsid w:val="00797278"/>
    <w:rsid w:val="007A1A77"/>
    <w:rsid w:val="007A21C8"/>
    <w:rsid w:val="007A5B6B"/>
    <w:rsid w:val="007A7580"/>
    <w:rsid w:val="007B42F5"/>
    <w:rsid w:val="007B4380"/>
    <w:rsid w:val="007B4AE3"/>
    <w:rsid w:val="007B5E37"/>
    <w:rsid w:val="007B6206"/>
    <w:rsid w:val="007B6BEA"/>
    <w:rsid w:val="007C3D00"/>
    <w:rsid w:val="007D50CE"/>
    <w:rsid w:val="007D6573"/>
    <w:rsid w:val="007E10F2"/>
    <w:rsid w:val="007E265D"/>
    <w:rsid w:val="007E559C"/>
    <w:rsid w:val="007E69E4"/>
    <w:rsid w:val="007F5EFA"/>
    <w:rsid w:val="0080696C"/>
    <w:rsid w:val="00812890"/>
    <w:rsid w:val="00823D2D"/>
    <w:rsid w:val="00826DC5"/>
    <w:rsid w:val="008313EC"/>
    <w:rsid w:val="008321A0"/>
    <w:rsid w:val="0083255E"/>
    <w:rsid w:val="00833D81"/>
    <w:rsid w:val="00834802"/>
    <w:rsid w:val="00836307"/>
    <w:rsid w:val="00841E99"/>
    <w:rsid w:val="00845D58"/>
    <w:rsid w:val="00846A72"/>
    <w:rsid w:val="0085117D"/>
    <w:rsid w:val="00853088"/>
    <w:rsid w:val="00855560"/>
    <w:rsid w:val="0086084B"/>
    <w:rsid w:val="00860C8E"/>
    <w:rsid w:val="008612C5"/>
    <w:rsid w:val="00866A95"/>
    <w:rsid w:val="00872B0C"/>
    <w:rsid w:val="00876CC8"/>
    <w:rsid w:val="00876E9D"/>
    <w:rsid w:val="0088144C"/>
    <w:rsid w:val="00882896"/>
    <w:rsid w:val="008921CE"/>
    <w:rsid w:val="00893CB3"/>
    <w:rsid w:val="008A0191"/>
    <w:rsid w:val="008A7A5E"/>
    <w:rsid w:val="008B3342"/>
    <w:rsid w:val="008B59D3"/>
    <w:rsid w:val="008B6020"/>
    <w:rsid w:val="008B6EDB"/>
    <w:rsid w:val="008C342F"/>
    <w:rsid w:val="008C5EDD"/>
    <w:rsid w:val="008D245E"/>
    <w:rsid w:val="008D280D"/>
    <w:rsid w:val="008D5230"/>
    <w:rsid w:val="008D678D"/>
    <w:rsid w:val="008D6D3D"/>
    <w:rsid w:val="008E0DCE"/>
    <w:rsid w:val="008E28A7"/>
    <w:rsid w:val="008F3096"/>
    <w:rsid w:val="008F31A1"/>
    <w:rsid w:val="00900380"/>
    <w:rsid w:val="00903604"/>
    <w:rsid w:val="00904189"/>
    <w:rsid w:val="009041DF"/>
    <w:rsid w:val="00904921"/>
    <w:rsid w:val="00910056"/>
    <w:rsid w:val="00910F70"/>
    <w:rsid w:val="009113C2"/>
    <w:rsid w:val="009140DF"/>
    <w:rsid w:val="0091445D"/>
    <w:rsid w:val="00915E4C"/>
    <w:rsid w:val="009168D3"/>
    <w:rsid w:val="009212E4"/>
    <w:rsid w:val="0092500D"/>
    <w:rsid w:val="009261F8"/>
    <w:rsid w:val="00926F10"/>
    <w:rsid w:val="00930DE4"/>
    <w:rsid w:val="00931C36"/>
    <w:rsid w:val="00935804"/>
    <w:rsid w:val="00941008"/>
    <w:rsid w:val="00943C88"/>
    <w:rsid w:val="00944873"/>
    <w:rsid w:val="0094544F"/>
    <w:rsid w:val="009457F5"/>
    <w:rsid w:val="009510B2"/>
    <w:rsid w:val="00954DAF"/>
    <w:rsid w:val="009552BC"/>
    <w:rsid w:val="00956F04"/>
    <w:rsid w:val="009634F9"/>
    <w:rsid w:val="009714FD"/>
    <w:rsid w:val="00971DFA"/>
    <w:rsid w:val="0097292E"/>
    <w:rsid w:val="009752D7"/>
    <w:rsid w:val="009776FB"/>
    <w:rsid w:val="00984B58"/>
    <w:rsid w:val="00987530"/>
    <w:rsid w:val="00990E03"/>
    <w:rsid w:val="0099103A"/>
    <w:rsid w:val="009911EB"/>
    <w:rsid w:val="00993F6E"/>
    <w:rsid w:val="00994B29"/>
    <w:rsid w:val="009A2F3E"/>
    <w:rsid w:val="009A3249"/>
    <w:rsid w:val="009A3842"/>
    <w:rsid w:val="009A4D8A"/>
    <w:rsid w:val="009B120B"/>
    <w:rsid w:val="009B3F40"/>
    <w:rsid w:val="009C2BB4"/>
    <w:rsid w:val="009C7CB2"/>
    <w:rsid w:val="009D086C"/>
    <w:rsid w:val="009D15E6"/>
    <w:rsid w:val="009D3281"/>
    <w:rsid w:val="009D7FFE"/>
    <w:rsid w:val="009E4FF5"/>
    <w:rsid w:val="009E795B"/>
    <w:rsid w:val="009F4C6C"/>
    <w:rsid w:val="009F4F7A"/>
    <w:rsid w:val="009F587C"/>
    <w:rsid w:val="00A02A0B"/>
    <w:rsid w:val="00A03F9F"/>
    <w:rsid w:val="00A0441B"/>
    <w:rsid w:val="00A04B5A"/>
    <w:rsid w:val="00A065F7"/>
    <w:rsid w:val="00A067E5"/>
    <w:rsid w:val="00A17C31"/>
    <w:rsid w:val="00A205FB"/>
    <w:rsid w:val="00A21D6F"/>
    <w:rsid w:val="00A2442F"/>
    <w:rsid w:val="00A27427"/>
    <w:rsid w:val="00A2749D"/>
    <w:rsid w:val="00A33A41"/>
    <w:rsid w:val="00A3658B"/>
    <w:rsid w:val="00A416F8"/>
    <w:rsid w:val="00A41E74"/>
    <w:rsid w:val="00A42342"/>
    <w:rsid w:val="00A62FE6"/>
    <w:rsid w:val="00A63C82"/>
    <w:rsid w:val="00A66E93"/>
    <w:rsid w:val="00A7354E"/>
    <w:rsid w:val="00A7591B"/>
    <w:rsid w:val="00A803C0"/>
    <w:rsid w:val="00A95A76"/>
    <w:rsid w:val="00A97D6C"/>
    <w:rsid w:val="00AA11FD"/>
    <w:rsid w:val="00AA19B9"/>
    <w:rsid w:val="00AA2237"/>
    <w:rsid w:val="00AA22A5"/>
    <w:rsid w:val="00AA2E34"/>
    <w:rsid w:val="00AA5240"/>
    <w:rsid w:val="00AB6787"/>
    <w:rsid w:val="00AC05ED"/>
    <w:rsid w:val="00AC36C4"/>
    <w:rsid w:val="00AC4ADC"/>
    <w:rsid w:val="00AC62CB"/>
    <w:rsid w:val="00AC773A"/>
    <w:rsid w:val="00AD20D2"/>
    <w:rsid w:val="00AD55C0"/>
    <w:rsid w:val="00AD7E39"/>
    <w:rsid w:val="00AE0634"/>
    <w:rsid w:val="00AE359A"/>
    <w:rsid w:val="00AE41D2"/>
    <w:rsid w:val="00AE50F5"/>
    <w:rsid w:val="00AF3EE5"/>
    <w:rsid w:val="00AF5E1A"/>
    <w:rsid w:val="00B03D4C"/>
    <w:rsid w:val="00B03D6A"/>
    <w:rsid w:val="00B122DD"/>
    <w:rsid w:val="00B152FA"/>
    <w:rsid w:val="00B159A8"/>
    <w:rsid w:val="00B15AFC"/>
    <w:rsid w:val="00B2271A"/>
    <w:rsid w:val="00B25787"/>
    <w:rsid w:val="00B27235"/>
    <w:rsid w:val="00B30AE7"/>
    <w:rsid w:val="00B3118D"/>
    <w:rsid w:val="00B327BD"/>
    <w:rsid w:val="00B32E19"/>
    <w:rsid w:val="00B37EE9"/>
    <w:rsid w:val="00B43693"/>
    <w:rsid w:val="00B43F58"/>
    <w:rsid w:val="00B45983"/>
    <w:rsid w:val="00B465FC"/>
    <w:rsid w:val="00B470CC"/>
    <w:rsid w:val="00B470EF"/>
    <w:rsid w:val="00B47307"/>
    <w:rsid w:val="00B478AA"/>
    <w:rsid w:val="00B53CF3"/>
    <w:rsid w:val="00B54792"/>
    <w:rsid w:val="00B55628"/>
    <w:rsid w:val="00B56E35"/>
    <w:rsid w:val="00B62D4F"/>
    <w:rsid w:val="00B65865"/>
    <w:rsid w:val="00B66A70"/>
    <w:rsid w:val="00B674A3"/>
    <w:rsid w:val="00B702F2"/>
    <w:rsid w:val="00B71B1C"/>
    <w:rsid w:val="00B76ED4"/>
    <w:rsid w:val="00B84066"/>
    <w:rsid w:val="00B8504C"/>
    <w:rsid w:val="00B92BE1"/>
    <w:rsid w:val="00B932B7"/>
    <w:rsid w:val="00B96C8B"/>
    <w:rsid w:val="00BA29BB"/>
    <w:rsid w:val="00BA3264"/>
    <w:rsid w:val="00BA4053"/>
    <w:rsid w:val="00BA7DD9"/>
    <w:rsid w:val="00BA7ECE"/>
    <w:rsid w:val="00BC0099"/>
    <w:rsid w:val="00BC08E6"/>
    <w:rsid w:val="00BC201D"/>
    <w:rsid w:val="00BC36EE"/>
    <w:rsid w:val="00BC39F1"/>
    <w:rsid w:val="00BC5903"/>
    <w:rsid w:val="00BC6B0E"/>
    <w:rsid w:val="00BD0381"/>
    <w:rsid w:val="00BE410F"/>
    <w:rsid w:val="00BF2638"/>
    <w:rsid w:val="00BF35BF"/>
    <w:rsid w:val="00BF4AE4"/>
    <w:rsid w:val="00C04BC2"/>
    <w:rsid w:val="00C12078"/>
    <w:rsid w:val="00C168FB"/>
    <w:rsid w:val="00C177AB"/>
    <w:rsid w:val="00C17EC7"/>
    <w:rsid w:val="00C2484C"/>
    <w:rsid w:val="00C26AED"/>
    <w:rsid w:val="00C348D5"/>
    <w:rsid w:val="00C35177"/>
    <w:rsid w:val="00C42EDC"/>
    <w:rsid w:val="00C4799C"/>
    <w:rsid w:val="00C5116B"/>
    <w:rsid w:val="00C52C62"/>
    <w:rsid w:val="00C563E8"/>
    <w:rsid w:val="00C60BF7"/>
    <w:rsid w:val="00C61284"/>
    <w:rsid w:val="00C65558"/>
    <w:rsid w:val="00C66544"/>
    <w:rsid w:val="00C66BF3"/>
    <w:rsid w:val="00C67EED"/>
    <w:rsid w:val="00C71036"/>
    <w:rsid w:val="00C72B12"/>
    <w:rsid w:val="00C73CA6"/>
    <w:rsid w:val="00C77E85"/>
    <w:rsid w:val="00C80539"/>
    <w:rsid w:val="00C92463"/>
    <w:rsid w:val="00C932C5"/>
    <w:rsid w:val="00C94606"/>
    <w:rsid w:val="00C969A9"/>
    <w:rsid w:val="00CA0640"/>
    <w:rsid w:val="00CA5345"/>
    <w:rsid w:val="00CA6501"/>
    <w:rsid w:val="00CA74E5"/>
    <w:rsid w:val="00CB3E5C"/>
    <w:rsid w:val="00CB4BC1"/>
    <w:rsid w:val="00CC118D"/>
    <w:rsid w:val="00CC2D06"/>
    <w:rsid w:val="00CC2EF3"/>
    <w:rsid w:val="00CC390B"/>
    <w:rsid w:val="00CC3DC2"/>
    <w:rsid w:val="00CC4086"/>
    <w:rsid w:val="00CC4A4A"/>
    <w:rsid w:val="00CC4B2C"/>
    <w:rsid w:val="00CC5DD2"/>
    <w:rsid w:val="00CC5EF9"/>
    <w:rsid w:val="00CC687C"/>
    <w:rsid w:val="00CD379F"/>
    <w:rsid w:val="00CD416E"/>
    <w:rsid w:val="00CD4899"/>
    <w:rsid w:val="00CD5576"/>
    <w:rsid w:val="00CD5859"/>
    <w:rsid w:val="00CE2DED"/>
    <w:rsid w:val="00CE78B2"/>
    <w:rsid w:val="00CF4F15"/>
    <w:rsid w:val="00CF5041"/>
    <w:rsid w:val="00CF7B6F"/>
    <w:rsid w:val="00D05922"/>
    <w:rsid w:val="00D06492"/>
    <w:rsid w:val="00D067DA"/>
    <w:rsid w:val="00D144BA"/>
    <w:rsid w:val="00D160F3"/>
    <w:rsid w:val="00D16628"/>
    <w:rsid w:val="00D23AC1"/>
    <w:rsid w:val="00D326D2"/>
    <w:rsid w:val="00D32BAA"/>
    <w:rsid w:val="00D3784C"/>
    <w:rsid w:val="00D404E7"/>
    <w:rsid w:val="00D56FD2"/>
    <w:rsid w:val="00D6605F"/>
    <w:rsid w:val="00D70F25"/>
    <w:rsid w:val="00D7181A"/>
    <w:rsid w:val="00D71A29"/>
    <w:rsid w:val="00D7203B"/>
    <w:rsid w:val="00D763AA"/>
    <w:rsid w:val="00D777E5"/>
    <w:rsid w:val="00D80B98"/>
    <w:rsid w:val="00D81161"/>
    <w:rsid w:val="00D86DCF"/>
    <w:rsid w:val="00D8757C"/>
    <w:rsid w:val="00D91AE4"/>
    <w:rsid w:val="00DA2B89"/>
    <w:rsid w:val="00DB090E"/>
    <w:rsid w:val="00DB36EF"/>
    <w:rsid w:val="00DB49A8"/>
    <w:rsid w:val="00DB778F"/>
    <w:rsid w:val="00DC3164"/>
    <w:rsid w:val="00DC6227"/>
    <w:rsid w:val="00DE0356"/>
    <w:rsid w:val="00DE5F7E"/>
    <w:rsid w:val="00DE7074"/>
    <w:rsid w:val="00DF02A7"/>
    <w:rsid w:val="00DF57E9"/>
    <w:rsid w:val="00E013B7"/>
    <w:rsid w:val="00E04B6B"/>
    <w:rsid w:val="00E04E2F"/>
    <w:rsid w:val="00E144D3"/>
    <w:rsid w:val="00E14977"/>
    <w:rsid w:val="00E17808"/>
    <w:rsid w:val="00E23C0A"/>
    <w:rsid w:val="00E26496"/>
    <w:rsid w:val="00E27999"/>
    <w:rsid w:val="00E31865"/>
    <w:rsid w:val="00E335E3"/>
    <w:rsid w:val="00E33744"/>
    <w:rsid w:val="00E34488"/>
    <w:rsid w:val="00E42B75"/>
    <w:rsid w:val="00E42D34"/>
    <w:rsid w:val="00E430CC"/>
    <w:rsid w:val="00E4799E"/>
    <w:rsid w:val="00E47AAF"/>
    <w:rsid w:val="00E51E24"/>
    <w:rsid w:val="00E541C4"/>
    <w:rsid w:val="00E56C65"/>
    <w:rsid w:val="00E64736"/>
    <w:rsid w:val="00E67570"/>
    <w:rsid w:val="00E75400"/>
    <w:rsid w:val="00E772E1"/>
    <w:rsid w:val="00E8713A"/>
    <w:rsid w:val="00E916CF"/>
    <w:rsid w:val="00E92785"/>
    <w:rsid w:val="00EA0467"/>
    <w:rsid w:val="00EA0609"/>
    <w:rsid w:val="00EA1C05"/>
    <w:rsid w:val="00EA349D"/>
    <w:rsid w:val="00EA4DA5"/>
    <w:rsid w:val="00EA6C7C"/>
    <w:rsid w:val="00EB0009"/>
    <w:rsid w:val="00EB33CA"/>
    <w:rsid w:val="00EC1F52"/>
    <w:rsid w:val="00EC56E1"/>
    <w:rsid w:val="00ED1D55"/>
    <w:rsid w:val="00EF0BE4"/>
    <w:rsid w:val="00EF0F07"/>
    <w:rsid w:val="00EF2B9D"/>
    <w:rsid w:val="00EF7595"/>
    <w:rsid w:val="00F02B52"/>
    <w:rsid w:val="00F12CB7"/>
    <w:rsid w:val="00F15DF2"/>
    <w:rsid w:val="00F177C6"/>
    <w:rsid w:val="00F17FD8"/>
    <w:rsid w:val="00F223EA"/>
    <w:rsid w:val="00F235BD"/>
    <w:rsid w:val="00F2643F"/>
    <w:rsid w:val="00F33CD5"/>
    <w:rsid w:val="00F36595"/>
    <w:rsid w:val="00F47AC0"/>
    <w:rsid w:val="00F51255"/>
    <w:rsid w:val="00F65592"/>
    <w:rsid w:val="00F72244"/>
    <w:rsid w:val="00F72408"/>
    <w:rsid w:val="00F74766"/>
    <w:rsid w:val="00F747E1"/>
    <w:rsid w:val="00F77044"/>
    <w:rsid w:val="00F8302F"/>
    <w:rsid w:val="00F87B91"/>
    <w:rsid w:val="00F90C25"/>
    <w:rsid w:val="00F91380"/>
    <w:rsid w:val="00F93AB7"/>
    <w:rsid w:val="00F96B0B"/>
    <w:rsid w:val="00FA24DB"/>
    <w:rsid w:val="00FA6D64"/>
    <w:rsid w:val="00FB3733"/>
    <w:rsid w:val="00FB3AEC"/>
    <w:rsid w:val="00FB4D99"/>
    <w:rsid w:val="00FB5E22"/>
    <w:rsid w:val="00FB780D"/>
    <w:rsid w:val="00FD1C91"/>
    <w:rsid w:val="00FD2236"/>
    <w:rsid w:val="00FD58C4"/>
    <w:rsid w:val="00FE0AE8"/>
    <w:rsid w:val="00FE3A8C"/>
    <w:rsid w:val="00FE4F92"/>
    <w:rsid w:val="00FE62A7"/>
    <w:rsid w:val="00FF0AD1"/>
    <w:rsid w:val="00FF4E20"/>
    <w:rsid w:val="00FF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A940"/>
  <w15:docId w15:val="{999AEA21-A2ED-4957-BE55-53B945F0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5B06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830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autoRedefine/>
    <w:qFormat/>
    <w:rsid w:val="001916FC"/>
    <w:pPr>
      <w:widowControl/>
      <w:spacing w:before="120" w:after="120"/>
      <w:ind w:left="414" w:right="-48"/>
      <w:jc w:val="both"/>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A6C7C"/>
    <w:rPr>
      <w:i/>
    </w:rPr>
  </w:style>
  <w:style w:type="character" w:styleId="Strong">
    <w:name w:val="Strong"/>
    <w:qFormat/>
    <w:rsid w:val="00EA6C7C"/>
    <w:rPr>
      <w:b/>
    </w:rPr>
  </w:style>
  <w:style w:type="paragraph" w:customStyle="1" w:styleId="Blockquote">
    <w:name w:val="Blockquote"/>
    <w:basedOn w:val="Normal"/>
    <w:rsid w:val="00EA6C7C"/>
    <w:pPr>
      <w:ind w:left="360" w:right="360"/>
    </w:pPr>
  </w:style>
  <w:style w:type="paragraph" w:styleId="ListParagraph">
    <w:name w:val="List Paragraph"/>
    <w:aliases w:val="Graph &amp; Table tite,Bullet Points,Liste Paragraf,Citation List,List Paragraph (numbered (a)),References,WB List Paragraph,Dot pt,F5 List Paragraph,List Paragraph1,No Spacing1,List Paragraph Char Char Char,Indicator Text,L,Numbered Para 1"/>
    <w:basedOn w:val="Normal"/>
    <w:link w:val="ListParagraphChar"/>
    <w:uiPriority w:val="34"/>
    <w:qFormat/>
    <w:rsid w:val="00EA6C7C"/>
    <w:pPr>
      <w:ind w:left="720"/>
      <w:contextualSpacing/>
    </w:pPr>
  </w:style>
  <w:style w:type="character" w:styleId="Hyperlink">
    <w:name w:val="Hyperlink"/>
    <w:rsid w:val="00CA6501"/>
    <w:rPr>
      <w:color w:val="0000FF"/>
      <w:u w:val="single"/>
    </w:rPr>
  </w:style>
  <w:style w:type="paragraph" w:styleId="FootnoteText">
    <w:name w:val="footnote text"/>
    <w:aliases w:val="Note de bas de page Car Car Car,Note de bas de page Car Car Car Car Car,Note de bas de page Car Car Car Car,Note de bas de page Car Car,Note de bas de page Car,Footnote Text Char Car,Footnote Text Char1 Char Car, Car"/>
    <w:basedOn w:val="Normal"/>
    <w:link w:val="FootnoteTextChar"/>
    <w:uiPriority w:val="99"/>
    <w:unhideWhenUsed/>
    <w:rsid w:val="000A4362"/>
    <w:pPr>
      <w:spacing w:before="0" w:after="0"/>
    </w:pPr>
    <w:rPr>
      <w:sz w:val="20"/>
    </w:rPr>
  </w:style>
  <w:style w:type="character" w:customStyle="1" w:styleId="FootnoteTextChar">
    <w:name w:val="Footnote Text Char"/>
    <w:aliases w:val="Note de bas de page Car Car Car Char,Note de bas de page Car Car Car Car Car Char,Note de bas de page Car Car Car Car Char,Note de bas de page Car Car Char,Note de bas de page Car Char,Footnote Text Char Car Char, Car Char"/>
    <w:basedOn w:val="DefaultParagraphFont"/>
    <w:link w:val="FootnoteText"/>
    <w:uiPriority w:val="99"/>
    <w:rsid w:val="000A4362"/>
    <w:rPr>
      <w:rFonts w:ascii="Times New Roman" w:eastAsia="Times New Roman" w:hAnsi="Times New Roman" w:cs="Times New Roman"/>
      <w:snapToGrid w:val="0"/>
      <w:sz w:val="20"/>
      <w:szCs w:val="20"/>
      <w:lang w:val="en-US"/>
    </w:rPr>
  </w:style>
  <w:style w:type="character" w:styleId="FootnoteReference">
    <w:name w:val="footnote reference"/>
    <w:aliases w:val="BVI fnr"/>
    <w:uiPriority w:val="99"/>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nhideWhenUsed/>
    <w:rsid w:val="00CC5DD2"/>
    <w:rPr>
      <w:sz w:val="16"/>
      <w:szCs w:val="16"/>
    </w:rPr>
  </w:style>
  <w:style w:type="paragraph" w:styleId="CommentText">
    <w:name w:val="annotation text"/>
    <w:basedOn w:val="Normal"/>
    <w:link w:val="CommentTextChar"/>
    <w:unhideWhenUsed/>
    <w:rsid w:val="00CC5DD2"/>
    <w:rPr>
      <w:sz w:val="20"/>
    </w:rPr>
  </w:style>
  <w:style w:type="character" w:customStyle="1" w:styleId="CommentTextChar">
    <w:name w:val="Comment Text Char"/>
    <w:basedOn w:val="DefaultParagraphFont"/>
    <w:link w:val="CommentText"/>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1916FC"/>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Subtitle">
    <w:name w:val="Subtitle"/>
    <w:basedOn w:val="Normal"/>
    <w:link w:val="SubtitleChar"/>
    <w:qFormat/>
    <w:rsid w:val="004759A5"/>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eastAsia="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559C"/>
  </w:style>
  <w:style w:type="character" w:customStyle="1" w:styleId="eop">
    <w:name w:val="eop"/>
    <w:basedOn w:val="DefaultParagraphFont"/>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DefaultParagraphFont"/>
    <w:rsid w:val="00FE3A8C"/>
    <w:rPr>
      <w:rFonts w:cs="Times New Roman"/>
    </w:rPr>
  </w:style>
  <w:style w:type="character" w:customStyle="1" w:styleId="Heading2Char">
    <w:name w:val="Heading 2 Char"/>
    <w:basedOn w:val="DefaultParagraphFont"/>
    <w:link w:val="Heading2"/>
    <w:uiPriority w:val="9"/>
    <w:semiHidden/>
    <w:rsid w:val="00F8302F"/>
    <w:rPr>
      <w:rFonts w:asciiTheme="majorHAnsi" w:eastAsiaTheme="majorEastAsia" w:hAnsiTheme="majorHAnsi" w:cstheme="majorBidi"/>
      <w:snapToGrid w:val="0"/>
      <w:color w:val="365F91" w:themeColor="accent1" w:themeShade="BF"/>
      <w:sz w:val="26"/>
      <w:szCs w:val="26"/>
      <w:lang w:val="en-US"/>
    </w:rPr>
  </w:style>
  <w:style w:type="character" w:styleId="UnresolvedMention">
    <w:name w:val="Unresolved Mention"/>
    <w:basedOn w:val="DefaultParagraphFont"/>
    <w:uiPriority w:val="99"/>
    <w:semiHidden/>
    <w:unhideWhenUsed/>
    <w:rsid w:val="00BF35BF"/>
    <w:rPr>
      <w:color w:val="605E5C"/>
      <w:shd w:val="clear" w:color="auto" w:fill="E1DFDD"/>
    </w:rPr>
  </w:style>
  <w:style w:type="character" w:customStyle="1" w:styleId="ListParagraphChar">
    <w:name w:val="List Paragraph Char"/>
    <w:aliases w:val="Graph &amp; Table tite Char,Bullet Points Char,Liste Paragraf Char,Citation List Char,List Paragraph (numbered (a)) Char,References Char,WB List Paragraph Char,Dot pt Char,F5 List Paragraph Char,List Paragraph1 Char,No Spacing1 Char"/>
    <w:link w:val="ListParagraph"/>
    <w:uiPriority w:val="34"/>
    <w:qFormat/>
    <w:locked/>
    <w:rsid w:val="000A6AD7"/>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5B06A6"/>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c.europa.eu/budget/graphs/inforeuro.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02014R0833-20241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236EBCCCAD374598EF6AA9AC35DBAB" ma:contentTypeVersion="22" ma:contentTypeDescription="Create a new document." ma:contentTypeScope="" ma:versionID="3b53ce89beb6632607dfa33f336bc0ad">
  <xsd:schema xmlns:xsd="http://www.w3.org/2001/XMLSchema" xmlns:xs="http://www.w3.org/2001/XMLSchema" xmlns:p="http://schemas.microsoft.com/office/2006/metadata/properties" xmlns:ns1="http://schemas.microsoft.com/sharepoint/v3" xmlns:ns2="4f8ea144-0010-4076-a0ec-5625238d0d0f" xmlns:ns3="47b5d293-4bcc-4943-9c3a-f1f0d28be359" targetNamespace="http://schemas.microsoft.com/office/2006/metadata/properties" ma:root="true" ma:fieldsID="69a0606dfcd12160aaf26ef4dcc98965" ns1:_="" ns2:_="" ns3:_="">
    <xsd:import namespace="http://schemas.microsoft.com/sharepoint/v3"/>
    <xsd:import namespace="4f8ea144-0010-4076-a0ec-5625238d0d0f"/>
    <xsd:import namespace="47b5d293-4bcc-4943-9c3a-f1f0d28be35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ExpirationDate" minOccurs="0"/>
                <xsd:element ref="ns1:PublishingStart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8ea144-0010-4076-a0ec-5625238d0d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1c0041e-65f3-4b84-88a9-a50e1371d0ce}" ma:internalName="TaxCatchAll" ma:showField="CatchAllData" ma:web="4f8ea144-0010-4076-a0ec-5625238d0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b5d293-4bcc-4943-9c3a-f1f0d28be359" elementFormDefault="qualified">
    <xsd:import namespace="http://schemas.microsoft.com/office/2006/documentManagement/types"/>
    <xsd:import namespace="http://schemas.microsoft.com/office/infopath/2007/PartnerControls"/>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474e0-dfc2-45f9-9585-de460bdee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7b5d293-4bcc-4943-9c3a-f1f0d28be359">
      <UserInfo>
        <DisplayName/>
        <AccountId xsi:nil="true"/>
        <AccountType/>
      </UserInfo>
    </SharedWithUsers>
    <PublishingExpirationDate xmlns="http://schemas.microsoft.com/sharepoint/v3" xsi:nil="true"/>
    <PublishingStartDate xmlns="http://schemas.microsoft.com/sharepoint/v3" xsi:nil="true"/>
    <_dlc_DocId xmlns="4f8ea144-0010-4076-a0ec-5625238d0d0f">7XZC2EVTEK65-1957031407-208508</_dlc_DocId>
    <_dlc_DocIdUrl xmlns="4f8ea144-0010-4076-a0ec-5625238d0d0f">
      <Url>https://euamukraineeu.sharepoint.com/sites/procurement/_layouts/15/DocIdRedir.aspx?ID=7XZC2EVTEK65-1957031407-208508</Url>
      <Description>7XZC2EVTEK65-1957031407-208508</Description>
    </_dlc_DocIdUrl>
    <TaxCatchAll xmlns="4f8ea144-0010-4076-a0ec-5625238d0d0f" xsi:nil="true"/>
    <lcf76f155ced4ddcb4097134ff3c332f xmlns="47b5d293-4bcc-4943-9c3a-f1f0d28be35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D3896-3FB1-406C-86C5-D7249FBFFEB6}">
  <ds:schemaRefs>
    <ds:schemaRef ds:uri="http://schemas.microsoft.com/sharepoint/events"/>
  </ds:schemaRefs>
</ds:datastoreItem>
</file>

<file path=customXml/itemProps2.xml><?xml version="1.0" encoding="utf-8"?>
<ds:datastoreItem xmlns:ds="http://schemas.openxmlformats.org/officeDocument/2006/customXml" ds:itemID="{B7E4920C-2B24-4B9F-856A-1FA666F7F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ea144-0010-4076-a0ec-5625238d0d0f"/>
    <ds:schemaRef ds:uri="47b5d293-4bcc-4943-9c3a-f1f0d28be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FC4FA-EE7F-4EB2-BB07-306FA73C9BFD}">
  <ds:schemaRefs>
    <ds:schemaRef ds:uri="http://schemas.microsoft.com/sharepoint/v3/contenttype/forms"/>
  </ds:schemaRefs>
</ds:datastoreItem>
</file>

<file path=customXml/itemProps4.xml><?xml version="1.0" encoding="utf-8"?>
<ds:datastoreItem xmlns:ds="http://schemas.openxmlformats.org/officeDocument/2006/customXml" ds:itemID="{7891B905-8B8B-4365-A442-B7A875E3DF90}">
  <ds:schemaRefs>
    <ds:schemaRef ds:uri="http://schemas.microsoft.com/office/2006/metadata/properties"/>
    <ds:schemaRef ds:uri="http://schemas.microsoft.com/office/infopath/2007/PartnerControls"/>
    <ds:schemaRef ds:uri="47b5d293-4bcc-4943-9c3a-f1f0d28be359"/>
    <ds:schemaRef ds:uri="http://schemas.microsoft.com/sharepoint/v3"/>
    <ds:schemaRef ds:uri="4f8ea144-0010-4076-a0ec-5625238d0d0f"/>
  </ds:schemaRefs>
</ds:datastoreItem>
</file>

<file path=customXml/itemProps5.xml><?xml version="1.0" encoding="utf-8"?>
<ds:datastoreItem xmlns:ds="http://schemas.openxmlformats.org/officeDocument/2006/customXml" ds:itemID="{6360A11B-8870-4AE4-8C4F-0269C009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12159</CharactersWithSpaces>
  <SharedDoc>false</SharedDoc>
  <HLinks>
    <vt:vector size="30" baseType="variant">
      <vt:variant>
        <vt:i4>5177438</vt:i4>
      </vt:variant>
      <vt:variant>
        <vt:i4>9</vt:i4>
      </vt:variant>
      <vt:variant>
        <vt:i4>0</vt:i4>
      </vt:variant>
      <vt:variant>
        <vt:i4>5</vt:i4>
      </vt:variant>
      <vt:variant>
        <vt:lpwstr>https://www.euam-ukraine.eu/our-mission/tenders/</vt:lpwstr>
      </vt:variant>
      <vt:variant>
        <vt:lpwstr/>
      </vt:variant>
      <vt:variant>
        <vt:i4>7864335</vt:i4>
      </vt:variant>
      <vt:variant>
        <vt:i4>6</vt:i4>
      </vt:variant>
      <vt:variant>
        <vt:i4>0</vt:i4>
      </vt:variant>
      <vt:variant>
        <vt:i4>5</vt:i4>
      </vt:variant>
      <vt:variant>
        <vt:lpwstr>mailto:tenders@euam-ukraine.eu</vt:lpwstr>
      </vt:variant>
      <vt:variant>
        <vt:lpwstr/>
      </vt:variant>
      <vt:variant>
        <vt:i4>7864335</vt:i4>
      </vt:variant>
      <vt:variant>
        <vt:i4>3</vt:i4>
      </vt:variant>
      <vt:variant>
        <vt:i4>0</vt:i4>
      </vt:variant>
      <vt:variant>
        <vt:i4>5</vt:i4>
      </vt:variant>
      <vt:variant>
        <vt:lpwstr>mailto:tenders@euam-ukraine.eu</vt:lpwstr>
      </vt:variant>
      <vt:variant>
        <vt:lpwstr/>
      </vt:variant>
      <vt:variant>
        <vt:i4>5636105</vt:i4>
      </vt:variant>
      <vt:variant>
        <vt:i4>0</vt:i4>
      </vt:variant>
      <vt:variant>
        <vt:i4>0</vt:i4>
      </vt:variant>
      <vt:variant>
        <vt:i4>5</vt:i4>
      </vt:variant>
      <vt:variant>
        <vt:lpwstr>http://ec.europa.eu/budget/graphs/inforeuro.html</vt:lpwstr>
      </vt:variant>
      <vt:variant>
        <vt:lpwstr/>
      </vt:variant>
      <vt:variant>
        <vt:i4>6291565</vt:i4>
      </vt:variant>
      <vt:variant>
        <vt:i4>0</vt:i4>
      </vt:variant>
      <vt:variant>
        <vt:i4>0</vt:i4>
      </vt:variant>
      <vt:variant>
        <vt:i4>5</vt:i4>
      </vt:variant>
      <vt:variant>
        <vt:lpwstr>https://eur-lex.europa.eu/legal-content/EN/TXT/?uri=CELEX%3A02014R0833-20241217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cp:lastModifiedBy>Stanislav LIOVOCHKIN</cp:lastModifiedBy>
  <cp:revision>86</cp:revision>
  <dcterms:created xsi:type="dcterms:W3CDTF">2026-03-04T13:55:00Z</dcterms:created>
  <dcterms:modified xsi:type="dcterms:W3CDTF">2026-04-29T12:17:00Z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0x01010025236EBCCCAD374598EF6AA9AC35DBAB</vt:lpwstr>
  </property>
  <property fmtid="{D5CDD505-2E9C-101B-9397-08002B2CF9AE}" pid="3" name="_dlc_DocIdItemGuid">
    <vt:lpwstr>ded6dc63-76fe-41b1-8691-ae34733597e6</vt:lpwstr>
  </property>
  <property fmtid="{D5CDD505-2E9C-101B-9397-08002B2CF9AE}" pid="4" name="MediaServiceImageTags">
    <vt:lpwstr/>
  </property>
</Properties>
</file>